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32"/>
          <w:szCs w:val="32"/>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44"/>
          <w:szCs w:val="44"/>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44"/>
          <w:szCs w:val="44"/>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44"/>
          <w:szCs w:val="44"/>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44"/>
          <w:szCs w:val="44"/>
        </w:rPr>
      </w:pP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宋体" w:cs="Times New Roman"/>
          <w:sz w:val="44"/>
          <w:szCs w:val="44"/>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方正小标宋_GBK" w:cs="Times New Roman"/>
          <w:sz w:val="44"/>
          <w:szCs w:val="44"/>
        </w:rPr>
      </w:pPr>
      <w:r>
        <w:rPr>
          <w:rFonts w:hint="default" w:ascii="Times New Roman" w:hAnsi="Times New Roman" w:eastAsia="方正小标宋_GBK" w:cs="Times New Roman"/>
          <w:sz w:val="44"/>
          <w:szCs w:val="44"/>
        </w:rPr>
        <w:t>新疆艺术剧院</w:t>
      </w:r>
      <w:r>
        <w:rPr>
          <w:rFonts w:hint="default" w:ascii="方正小标宋_GBK" w:hAnsi="方正小标宋_GBK" w:eastAsia="方正小标宋_GBK" w:cs="方正小标宋_GBK"/>
          <w:w w:val="95"/>
          <w:sz w:val="44"/>
          <w:szCs w:val="44"/>
          <w:lang w:val="en-US" w:eastAsia="en-US" w:bidi="ar-SA"/>
        </w:rPr>
        <w:t>2024年度部门</w:t>
      </w:r>
      <w:r>
        <w:rPr>
          <w:rFonts w:hint="default" w:ascii="Times New Roman" w:hAnsi="Times New Roman" w:eastAsia="方正小标宋_GBK" w:cs="Times New Roman"/>
          <w:sz w:val="44"/>
          <w:szCs w:val="44"/>
        </w:rPr>
        <w:t>决算公开说明</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rPr>
          <w:rFonts w:hint="default" w:ascii="Times New Roman" w:hAnsi="Times New Roman" w:eastAsia="仿宋_GB2312" w:cs="Times New Roman"/>
          <w:sz w:val="36"/>
          <w:szCs w:val="36"/>
        </w:rPr>
      </w:pPr>
      <w:r>
        <w:rPr>
          <w:rFonts w:hint="default" w:ascii="Times New Roman" w:hAnsi="Times New Roman" w:eastAsia="仿宋_GB2312" w:cs="Times New Roman"/>
          <w:b/>
          <w:sz w:val="36"/>
          <w:szCs w:val="36"/>
        </w:rPr>
        <w:t>目</w:t>
      </w:r>
      <w:r>
        <w:rPr>
          <w:rFonts w:hint="default" w:ascii="Times New Roman" w:hAnsi="Times New Roman" w:eastAsia="仿宋_GB2312" w:cs="Times New Roman"/>
          <w:b/>
          <w:sz w:val="36"/>
          <w:szCs w:val="36"/>
          <w:lang w:val="en-US" w:eastAsia="zh-CN"/>
        </w:rPr>
        <w:t xml:space="preserve"> </w:t>
      </w:r>
      <w:r>
        <w:rPr>
          <w:rFonts w:hint="default" w:ascii="Times New Roman" w:hAnsi="Times New Roman" w:eastAsia="仿宋_GB2312" w:cs="Times New Roman"/>
          <w:b/>
          <w:sz w:val="36"/>
          <w:szCs w:val="36"/>
        </w:rPr>
        <w:t>录</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第一部分</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部门概况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第二部分</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九、财政拨款</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三公</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经费支出决算情况说明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第三部分</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专业名词解释</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第四部分</w:t>
      </w:r>
      <w:r>
        <w:rPr>
          <w:rFonts w:hint="default" w:ascii="Times New Roman" w:hAnsi="Times New Roman" w:eastAsia="仿宋_GB2312" w:cs="Times New Roman"/>
          <w:b/>
          <w:sz w:val="32"/>
          <w:szCs w:val="32"/>
          <w:lang w:val="en-US" w:eastAsia="zh-CN"/>
        </w:rPr>
        <w:t xml:space="preserve"> </w:t>
      </w:r>
      <w:r>
        <w:rPr>
          <w:rFonts w:hint="default" w:ascii="Times New Roman" w:hAnsi="Times New Roman" w:eastAsia="仿宋_GB2312" w:cs="Times New Roman"/>
          <w:b/>
          <w:sz w:val="32"/>
          <w:szCs w:val="32"/>
        </w:rPr>
        <w:t>部门决算报表</w:t>
      </w:r>
      <w:r>
        <w:rPr>
          <w:rFonts w:hint="default" w:ascii="仿宋_GB2312" w:hAnsi="仿宋_GB2312" w:eastAsia="仿宋_GB2312" w:cs="仿宋_GB2312"/>
          <w:b/>
          <w:bCs/>
          <w:sz w:val="32"/>
          <w:szCs w:val="32"/>
          <w:highlight w:val="none"/>
        </w:rPr>
        <w:t>（见附</w:t>
      </w:r>
      <w:r>
        <w:rPr>
          <w:rFonts w:hint="default" w:ascii="仿宋_GB2312" w:hAnsi="仿宋_GB2312" w:eastAsia="仿宋_GB2312" w:cs="仿宋_GB2312"/>
          <w:b/>
          <w:bCs/>
          <w:sz w:val="32"/>
          <w:szCs w:val="32"/>
          <w:highlight w:val="none"/>
          <w:lang w:val="en-US" w:eastAsia="zh-CN"/>
        </w:rPr>
        <w:t>件1</w:t>
      </w:r>
      <w:r>
        <w:rPr>
          <w:rFonts w:hint="default" w:ascii="仿宋_GB2312" w:hAnsi="仿宋_GB2312" w:eastAsia="仿宋_GB2312" w:cs="仿宋_GB2312"/>
          <w:b/>
          <w:bCs/>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二、《收入决算表》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九、《财政拨款</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三公</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w:t>
      </w:r>
      <w:r>
        <w:rPr>
          <w:rFonts w:hint="default" w:ascii="Times New Roman" w:hAnsi="Times New Roman" w:eastAsia="仿宋_GB2312" w:cs="Times New Roman"/>
          <w:b/>
          <w:sz w:val="32"/>
          <w:szCs w:val="32"/>
          <w:lang w:val="en-US" w:eastAsia="zh-CN"/>
        </w:rPr>
        <w:t>五</w:t>
      </w:r>
      <w:r>
        <w:rPr>
          <w:rFonts w:hint="default" w:ascii="Times New Roman" w:hAnsi="Times New Roman" w:eastAsia="仿宋_GB2312" w:cs="Times New Roman"/>
          <w:b/>
          <w:sz w:val="32"/>
          <w:szCs w:val="32"/>
        </w:rPr>
        <w:t>部分</w:t>
      </w:r>
      <w:r>
        <w:rPr>
          <w:rFonts w:hint="default" w:ascii="Times New Roman" w:hAnsi="Times New Roman" w:eastAsia="仿宋_GB2312" w:cs="Times New Roman"/>
          <w:b/>
          <w:sz w:val="32"/>
          <w:szCs w:val="32"/>
          <w:lang w:val="en-US" w:eastAsia="zh-CN"/>
        </w:rPr>
        <w:t xml:space="preserve"> 项目绩效自评表</w:t>
      </w:r>
      <w:r>
        <w:rPr>
          <w:rFonts w:hint="default" w:ascii="Times New Roman" w:hAnsi="Times New Roman" w:eastAsia="仿宋_GB2312" w:cs="Times New Roman"/>
          <w:b/>
          <w:sz w:val="32"/>
          <w:szCs w:val="32"/>
        </w:rPr>
        <w:t>（</w:t>
      </w:r>
      <w:r>
        <w:rPr>
          <w:rFonts w:hint="default" w:ascii="仿宋_GB2312" w:hAnsi="仿宋_GB2312" w:eastAsia="仿宋_GB2312" w:cs="仿宋_GB2312"/>
          <w:b/>
          <w:bCs/>
          <w:sz w:val="32"/>
          <w:szCs w:val="32"/>
          <w:highlight w:val="none"/>
        </w:rPr>
        <w:t>见附</w:t>
      </w:r>
      <w:r>
        <w:rPr>
          <w:rFonts w:hint="default" w:ascii="仿宋_GB2312" w:hAnsi="仿宋_GB2312" w:eastAsia="仿宋_GB2312" w:cs="仿宋_GB2312"/>
          <w:b/>
          <w:bCs/>
          <w:sz w:val="32"/>
          <w:szCs w:val="32"/>
          <w:highlight w:val="none"/>
          <w:lang w:val="en-US" w:eastAsia="zh-CN"/>
        </w:rPr>
        <w:t>件2</w:t>
      </w:r>
      <w:r>
        <w:rPr>
          <w:rFonts w:hint="default" w:ascii="仿宋_GB2312" w:hAnsi="仿宋_GB2312" w:eastAsia="仿宋_GB2312" w:cs="仿宋_GB2312"/>
          <w:b/>
          <w:bCs/>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第</w:t>
      </w:r>
      <w:r>
        <w:rPr>
          <w:rFonts w:hint="default" w:ascii="Times New Roman" w:hAnsi="Times New Roman" w:eastAsia="仿宋_GB2312" w:cs="Times New Roman"/>
          <w:b/>
          <w:sz w:val="32"/>
          <w:szCs w:val="32"/>
          <w:lang w:val="en-US" w:eastAsia="zh-CN"/>
        </w:rPr>
        <w:t>六</w:t>
      </w:r>
      <w:r>
        <w:rPr>
          <w:rFonts w:hint="default" w:ascii="Times New Roman" w:hAnsi="Times New Roman" w:eastAsia="仿宋_GB2312" w:cs="Times New Roman"/>
          <w:b/>
          <w:sz w:val="32"/>
          <w:szCs w:val="32"/>
        </w:rPr>
        <w:t>部分</w:t>
      </w:r>
      <w:r>
        <w:rPr>
          <w:rFonts w:hint="default" w:ascii="Times New Roman" w:hAnsi="Times New Roman" w:eastAsia="仿宋_GB2312" w:cs="Times New Roman"/>
          <w:b/>
          <w:sz w:val="32"/>
          <w:szCs w:val="32"/>
          <w:lang w:val="en-US" w:eastAsia="zh-CN"/>
        </w:rPr>
        <w:t xml:space="preserve"> 项目绩效自评报告</w:t>
      </w:r>
      <w:r>
        <w:rPr>
          <w:rFonts w:hint="default" w:ascii="仿宋_GB2312" w:hAnsi="仿宋_GB2312" w:eastAsia="仿宋_GB2312" w:cs="仿宋_GB2312"/>
          <w:b/>
          <w:bCs/>
          <w:sz w:val="32"/>
          <w:szCs w:val="32"/>
          <w:highlight w:val="none"/>
        </w:rPr>
        <w:t>（见附</w:t>
      </w:r>
      <w:r>
        <w:rPr>
          <w:rFonts w:hint="default" w:ascii="仿宋_GB2312" w:hAnsi="仿宋_GB2312" w:eastAsia="仿宋_GB2312" w:cs="仿宋_GB2312"/>
          <w:b/>
          <w:bCs/>
          <w:sz w:val="32"/>
          <w:szCs w:val="32"/>
          <w:highlight w:val="none"/>
          <w:lang w:val="en-US" w:eastAsia="zh-CN"/>
        </w:rPr>
        <w:t>件3</w:t>
      </w:r>
      <w:r>
        <w:rPr>
          <w:rFonts w:hint="default" w:ascii="仿宋_GB2312" w:hAnsi="仿宋_GB2312" w:eastAsia="仿宋_GB2312" w:cs="仿宋_GB2312"/>
          <w:b/>
          <w:bCs/>
          <w:sz w:val="32"/>
          <w:szCs w:val="32"/>
          <w:highlight w:val="none"/>
        </w:rPr>
        <w:t>）</w:t>
      </w:r>
    </w:p>
    <w:p>
      <w:pPr>
        <w:keepNext w:val="0"/>
        <w:keepLines w:val="0"/>
        <w:pageBreakBefore w:val="0"/>
        <w:widowControl/>
        <w:kinsoku/>
        <w:wordWrap/>
        <w:overflowPunct/>
        <w:topLinePunct w:val="0"/>
        <w:autoSpaceDE/>
        <w:autoSpaceDN/>
        <w:bidi w:val="0"/>
        <w:adjustRightInd/>
        <w:snapToGrid/>
        <w:spacing w:after="0" w:line="560" w:lineRule="exact"/>
        <w:textAlignment w:val="auto"/>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第一部分</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部门概况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一、主要职能</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rPr>
      </w:pPr>
      <w:bookmarkStart w:id="0" w:name="OLE_LINK5"/>
      <w:r>
        <w:rPr>
          <w:rFonts w:hint="default" w:ascii="仿宋_GB2312" w:eastAsia="仿宋_GB2312"/>
          <w:b w:val="0"/>
          <w:bCs w:val="0"/>
          <w:color w:val="auto"/>
          <w:sz w:val="32"/>
          <w:szCs w:val="32"/>
          <w:highlight w:val="none"/>
        </w:rPr>
        <w:t>新疆艺术剧院</w:t>
      </w:r>
      <w:bookmarkEnd w:id="0"/>
      <w:r>
        <w:rPr>
          <w:rFonts w:hint="default" w:ascii="仿宋_GB2312" w:eastAsia="仿宋_GB2312"/>
          <w:b w:val="0"/>
          <w:bCs w:val="0"/>
          <w:color w:val="auto"/>
          <w:sz w:val="32"/>
          <w:szCs w:val="32"/>
          <w:highlight w:val="none"/>
        </w:rPr>
        <w:t>是自治区文化和旅游厅所属副厅级事业单位，2009年8月31日正式挂牌成立。下设新疆艺术剧院歌舞团、新疆艺术剧院歌剧团、新疆艺术剧院木卡姆艺术团、新疆艺术剧院话剧团、新疆爱乐乐团、新疆艺术剧院杂技团、新疆艺术剧院民族乐团（新疆民乐团）、新疆人民剧场</w:t>
      </w:r>
      <w:r>
        <w:rPr>
          <w:rFonts w:hint="eastAsia" w:ascii="仿宋_GB2312" w:eastAsia="仿宋_GB2312"/>
          <w:b w:val="0"/>
          <w:bCs w:val="0"/>
          <w:color w:val="auto"/>
          <w:sz w:val="32"/>
          <w:szCs w:val="32"/>
          <w:highlight w:val="none"/>
          <w:lang w:eastAsia="zh-CN"/>
        </w:rPr>
        <w:t>、</w:t>
      </w:r>
      <w:r>
        <w:rPr>
          <w:rFonts w:hint="default" w:ascii="仿宋_GB2312" w:eastAsia="仿宋_GB2312"/>
          <w:b w:val="0"/>
          <w:bCs w:val="0"/>
          <w:color w:val="auto"/>
          <w:sz w:val="32"/>
          <w:szCs w:val="32"/>
          <w:highlight w:val="none"/>
          <w:lang w:val="en-US" w:eastAsia="zh-CN"/>
        </w:rPr>
        <w:t>新疆艺术剧院团结剧场</w:t>
      </w:r>
      <w:r>
        <w:rPr>
          <w:rFonts w:hint="eastAsia" w:ascii="仿宋_GB2312" w:eastAsia="仿宋_GB2312"/>
          <w:b w:val="0"/>
          <w:bCs w:val="0"/>
          <w:color w:val="auto"/>
          <w:sz w:val="32"/>
          <w:szCs w:val="32"/>
          <w:highlight w:val="none"/>
          <w:lang w:eastAsia="zh-CN"/>
        </w:rPr>
        <w:t>九</w:t>
      </w:r>
      <w:r>
        <w:rPr>
          <w:rFonts w:hint="default" w:ascii="仿宋_GB2312" w:eastAsia="仿宋_GB2312"/>
          <w:b w:val="0"/>
          <w:bCs w:val="0"/>
          <w:color w:val="auto"/>
          <w:sz w:val="32"/>
          <w:szCs w:val="32"/>
          <w:highlight w:val="none"/>
        </w:rPr>
        <w:t>家单位，是集中体现我区音乐舞蹈戏剧艺术的最高成就，具有引领全区艺术表演团体发展方向，代表全疆各民族特色艺术最高水准的自治区重点艺术表演团体。我院主要职能为创作、演出新疆少数民族音乐剧（节）目、汉语话剧、少数民族题材话剧、新歌剧（节）目、杂技艺术和木卡姆表演艺术，开发、推广舞台艺术后产品、继承和发展各民族优秀文化艺术，促进自治区文化艺术事业持续健康发展。（1）加强党对艺术工作的领导。贯彻落实党和国家文化工作的方针政策，发展中国特色社会主义文化，牢牢掌握意识形态文艺舞台的领导权和主动权。（2）发展文艺事业，坚持</w:t>
      </w:r>
      <w:r>
        <w:rPr>
          <w:rFonts w:hint="default" w:ascii="仿宋_GB2312" w:eastAsia="仿宋_GB2312"/>
          <w:b w:val="0"/>
          <w:bCs w:val="0"/>
          <w:color w:val="auto"/>
          <w:sz w:val="32"/>
          <w:szCs w:val="32"/>
          <w:highlight w:val="none"/>
          <w:lang w:eastAsia="zh-CN"/>
        </w:rPr>
        <w:t>“</w:t>
      </w:r>
      <w:r>
        <w:rPr>
          <w:rFonts w:hint="default" w:ascii="仿宋_GB2312" w:eastAsia="仿宋_GB2312"/>
          <w:b w:val="0"/>
          <w:bCs w:val="0"/>
          <w:color w:val="auto"/>
          <w:sz w:val="32"/>
          <w:szCs w:val="32"/>
          <w:highlight w:val="none"/>
        </w:rPr>
        <w:t>二为</w:t>
      </w:r>
      <w:r>
        <w:rPr>
          <w:rFonts w:hint="default" w:ascii="仿宋_GB2312" w:eastAsia="仿宋_GB2312"/>
          <w:b w:val="0"/>
          <w:bCs w:val="0"/>
          <w:color w:val="auto"/>
          <w:sz w:val="32"/>
          <w:szCs w:val="32"/>
          <w:highlight w:val="none"/>
          <w:lang w:eastAsia="zh-CN"/>
        </w:rPr>
        <w:t>”</w:t>
      </w:r>
      <w:r>
        <w:rPr>
          <w:rFonts w:hint="default" w:ascii="仿宋_GB2312" w:eastAsia="仿宋_GB2312"/>
          <w:b w:val="0"/>
          <w:bCs w:val="0"/>
          <w:color w:val="auto"/>
          <w:sz w:val="32"/>
          <w:szCs w:val="32"/>
          <w:highlight w:val="none"/>
        </w:rPr>
        <w:t>方向、</w:t>
      </w:r>
      <w:r>
        <w:rPr>
          <w:rFonts w:hint="default" w:ascii="仿宋_GB2312" w:eastAsia="仿宋_GB2312"/>
          <w:b w:val="0"/>
          <w:bCs w:val="0"/>
          <w:color w:val="auto"/>
          <w:sz w:val="32"/>
          <w:szCs w:val="32"/>
          <w:highlight w:val="none"/>
          <w:lang w:eastAsia="zh-CN"/>
        </w:rPr>
        <w:t>“</w:t>
      </w:r>
      <w:r>
        <w:rPr>
          <w:rFonts w:hint="default" w:ascii="仿宋_GB2312" w:eastAsia="仿宋_GB2312"/>
          <w:b w:val="0"/>
          <w:bCs w:val="0"/>
          <w:color w:val="auto"/>
          <w:sz w:val="32"/>
          <w:szCs w:val="32"/>
          <w:highlight w:val="none"/>
        </w:rPr>
        <w:t>双百</w:t>
      </w:r>
      <w:r>
        <w:rPr>
          <w:rFonts w:hint="default" w:ascii="仿宋_GB2312" w:eastAsia="仿宋_GB2312"/>
          <w:b w:val="0"/>
          <w:bCs w:val="0"/>
          <w:color w:val="auto"/>
          <w:sz w:val="32"/>
          <w:szCs w:val="32"/>
          <w:highlight w:val="none"/>
          <w:lang w:eastAsia="zh-CN"/>
        </w:rPr>
        <w:t>”</w:t>
      </w:r>
      <w:r>
        <w:rPr>
          <w:rFonts w:hint="default" w:ascii="仿宋_GB2312" w:eastAsia="仿宋_GB2312"/>
          <w:b w:val="0"/>
          <w:bCs w:val="0"/>
          <w:color w:val="auto"/>
          <w:sz w:val="32"/>
          <w:szCs w:val="32"/>
          <w:highlight w:val="none"/>
        </w:rPr>
        <w:t>方针，坚持创造性转化、创新性发展，坚守中华文化立场，坚持以人民为中心的创作导向，突出现实题材创作，努力推出讴歌党、讴歌祖国、讴歌人民、讴歌英雄的精品力作。（3）深入开展文化惠民演出活动，完成中央和自治区重大公益性演出任务，为各族人民提供高质量的文化艺术产品。（4）负责剧院文化演出活动的安全保障工作，指导院属各单位做好文化活动的应急救援工作。（5）代表国家开展对外及对港澳台文化交流演出活动。按照上级安排，组织开展大型文化对外及对港澳台交流活动，为传承多元一体的中华优秀传统文化、展现多姿多彩的新疆各民族文化艺术发挥了桥梁纽带作用，推动中华文化走出去。（6）管理新疆艺术剧院下辖的歌舞团、歌剧团、话剧团、木卡姆艺术团、杂技团、爱乐乐团、民族乐团七个艺术表演团体和人民剧场。（7）完成自治区党委、文化和旅游厅党组交办的其他任务。</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二、机构设置及人员情况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rPr>
      </w:pPr>
      <w:r>
        <w:rPr>
          <w:rFonts w:hint="default" w:ascii="仿宋_GB2312" w:eastAsia="仿宋_GB2312"/>
          <w:b w:val="0"/>
          <w:bCs w:val="0"/>
          <w:color w:val="auto"/>
          <w:sz w:val="32"/>
          <w:szCs w:val="32"/>
          <w:highlight w:val="none"/>
        </w:rPr>
        <w:t>新疆艺术剧院2024年度，实有人数1,163人，其中：在职人员611人，减少20人；离休人员2人，减少1人；退休人员550人，增加1人。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从部门决算单位构成看，新疆艺术剧院部门决算包括：新疆艺术剧院本级决算及所属单位决算。</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eastAsia="zh-CN"/>
        </w:rPr>
      </w:pPr>
      <w:r>
        <w:rPr>
          <w:rFonts w:hint="default" w:ascii="仿宋_GB2312" w:eastAsia="仿宋_GB2312"/>
          <w:b w:val="0"/>
          <w:bCs w:val="0"/>
          <w:color w:val="auto"/>
          <w:sz w:val="32"/>
          <w:szCs w:val="32"/>
          <w:highlight w:val="none"/>
          <w:lang w:eastAsia="zh-CN"/>
        </w:rPr>
        <w:t>新疆艺术剧院本级下设7个</w:t>
      </w:r>
      <w:r>
        <w:rPr>
          <w:rFonts w:hint="default" w:ascii="仿宋_GB2312" w:eastAsia="仿宋_GB2312"/>
          <w:b w:val="0"/>
          <w:bCs w:val="0"/>
          <w:color w:val="auto"/>
          <w:sz w:val="32"/>
          <w:szCs w:val="32"/>
          <w:highlight w:val="none"/>
          <w:lang w:val="en-US" w:eastAsia="zh-CN"/>
        </w:rPr>
        <w:t>科</w:t>
      </w:r>
      <w:r>
        <w:rPr>
          <w:rFonts w:hint="default" w:ascii="仿宋_GB2312" w:eastAsia="仿宋_GB2312"/>
          <w:b w:val="0"/>
          <w:bCs w:val="0"/>
          <w:color w:val="auto"/>
          <w:sz w:val="32"/>
          <w:szCs w:val="32"/>
          <w:highlight w:val="none"/>
          <w:lang w:eastAsia="zh-CN"/>
        </w:rPr>
        <w:t>室，分别是：综合部、纪检监察室、舞台美术部、后勤管理部、创作研究部、演出推广部、影视制作部。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eastAsia="zh-CN"/>
        </w:rPr>
      </w:pPr>
      <w:r>
        <w:rPr>
          <w:rFonts w:hint="default" w:ascii="仿宋_GB2312" w:eastAsia="仿宋_GB2312"/>
          <w:b w:val="0"/>
          <w:bCs w:val="0"/>
          <w:color w:val="auto"/>
          <w:sz w:val="32"/>
          <w:szCs w:val="32"/>
          <w:highlight w:val="none"/>
          <w:lang w:eastAsia="zh-CN"/>
        </w:rPr>
        <w:t>纳入新疆艺术剧院2024年度部门决算编制范围的下属预算单位包括：</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1.新疆艺术剧院歌舞团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2.新疆艺术剧院歌剧团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3.新疆艺术剧院管弦乐团（新疆爱乐乐团）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4.新疆艺术剧院民族乐团（新疆民乐团）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5.新疆艺术剧院话剧团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6.新疆艺术剧院人民剧场（新疆人民剧场）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7.新疆艺术剧院木卡姆艺术团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8.新疆艺术剧院杂技团</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9.新疆艺术剧院团结剧场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10.新疆艺术剧院（本级）</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eastAsia="zh-CN"/>
        </w:rPr>
      </w:pPr>
      <w:r>
        <w:rPr>
          <w:rFonts w:hint="default" w:ascii="仿宋_GB2312" w:eastAsia="仿宋_GB2312"/>
          <w:b w:val="0"/>
          <w:bCs w:val="0"/>
          <w:color w:val="auto"/>
          <w:sz w:val="32"/>
          <w:szCs w:val="32"/>
          <w:highlight w:val="none"/>
          <w:lang w:eastAsia="zh-CN"/>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第二部分</w:t>
      </w:r>
      <w:r>
        <w:rPr>
          <w:rFonts w:hint="default"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部门决算情况说明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2024年度收入总计25,947.01万元，</w:t>
      </w:r>
      <w:r>
        <w:rPr>
          <w:rFonts w:hint="default" w:ascii="仿宋_GB2312" w:eastAsia="仿宋_GB2312"/>
          <w:b w:val="0"/>
          <w:bCs w:val="0"/>
          <w:color w:val="auto"/>
          <w:sz w:val="32"/>
          <w:szCs w:val="32"/>
          <w:highlight w:val="none"/>
          <w:lang w:val="en-US" w:eastAsia="zh-CN"/>
        </w:rPr>
        <w:t>其中：本年收入合计24,153.45万元，使用非财政拨款结余（含专用结余）14.19万元，年初结转和结余1,779.38万元。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2024年度支出总计25,947.01万元，</w:t>
      </w:r>
      <w:r>
        <w:rPr>
          <w:rFonts w:hint="default" w:ascii="仿宋_GB2312" w:eastAsia="仿宋_GB2312"/>
          <w:b w:val="0"/>
          <w:bCs w:val="0"/>
          <w:color w:val="auto"/>
          <w:sz w:val="32"/>
          <w:szCs w:val="32"/>
          <w:highlight w:val="none"/>
          <w:lang w:val="en-US" w:eastAsia="zh-CN"/>
        </w:rPr>
        <w:t>其中：本年支出合计23,971.65万元，结余分配144.45万元，年末结转和结余1,830.91万元。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收入支出总体与上年相比</w:t>
      </w:r>
      <w:r>
        <w:rPr>
          <w:rFonts w:hint="default" w:ascii="仿宋_GB2312" w:eastAsia="仿宋_GB2312"/>
          <w:b w:val="0"/>
          <w:bCs w:val="0"/>
          <w:color w:val="auto"/>
          <w:sz w:val="32"/>
          <w:szCs w:val="32"/>
          <w:highlight w:val="none"/>
          <w:lang w:val="en-US" w:eastAsia="zh-CN"/>
        </w:rPr>
        <w:t>，增加1,658.26万元，增长6.83%，主要原因是：一是财政拨款资金较上年增加1403.91万元，</w:t>
      </w:r>
      <w:r>
        <w:rPr>
          <w:rFonts w:hint="eastAsia" w:ascii="仿宋_GB2312" w:eastAsia="仿宋_GB2312"/>
          <w:b w:val="0"/>
          <w:bCs w:val="0"/>
          <w:color w:val="auto"/>
          <w:sz w:val="32"/>
          <w:szCs w:val="32"/>
          <w:highlight w:val="none"/>
          <w:lang w:val="en-US" w:eastAsia="zh-CN"/>
        </w:rPr>
        <w:t>主要是</w:t>
      </w:r>
      <w:r>
        <w:rPr>
          <w:rFonts w:hint="default" w:ascii="仿宋_GB2312" w:eastAsia="仿宋_GB2312"/>
          <w:b w:val="0"/>
          <w:bCs w:val="0"/>
          <w:color w:val="auto"/>
          <w:sz w:val="32"/>
          <w:szCs w:val="32"/>
          <w:highlight w:val="none"/>
          <w:lang w:val="en-US" w:eastAsia="zh-CN"/>
        </w:rPr>
        <w:t>各</w:t>
      </w:r>
      <w:r>
        <w:rPr>
          <w:rFonts w:hint="eastAsia" w:ascii="仿宋_GB2312" w:eastAsia="仿宋_GB2312"/>
          <w:b w:val="0"/>
          <w:bCs w:val="0"/>
          <w:color w:val="auto"/>
          <w:sz w:val="32"/>
          <w:szCs w:val="32"/>
          <w:highlight w:val="none"/>
          <w:lang w:val="en-US" w:eastAsia="zh-CN"/>
        </w:rPr>
        <w:t>院团</w:t>
      </w:r>
      <w:r>
        <w:rPr>
          <w:rFonts w:hint="default" w:ascii="仿宋_GB2312" w:eastAsia="仿宋_GB2312"/>
          <w:b w:val="0"/>
          <w:bCs w:val="0"/>
          <w:color w:val="auto"/>
          <w:sz w:val="32"/>
          <w:szCs w:val="32"/>
          <w:highlight w:val="none"/>
          <w:lang w:val="en-US" w:eastAsia="zh-CN"/>
        </w:rPr>
        <w:t>本年人员经费和公用经费增加</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自治区旅游发展专项资金</w:t>
      </w:r>
      <w:r>
        <w:rPr>
          <w:rFonts w:hint="eastAsia" w:ascii="仿宋_GB2312" w:eastAsia="仿宋_GB2312"/>
          <w:b w:val="0"/>
          <w:bCs w:val="0"/>
          <w:color w:val="auto"/>
          <w:sz w:val="32"/>
          <w:szCs w:val="32"/>
          <w:highlight w:val="none"/>
          <w:lang w:val="en-US" w:eastAsia="zh-CN"/>
        </w:rPr>
        <w:t>增加</w:t>
      </w:r>
      <w:r>
        <w:rPr>
          <w:rFonts w:hint="default" w:ascii="仿宋_GB2312" w:eastAsia="仿宋_GB2312"/>
          <w:b w:val="0"/>
          <w:bCs w:val="0"/>
          <w:color w:val="auto"/>
          <w:sz w:val="32"/>
          <w:szCs w:val="32"/>
          <w:highlight w:val="none"/>
          <w:lang w:val="en-US" w:eastAsia="zh-CN"/>
        </w:rPr>
        <w:t>；二是事业收入增加118.07万元</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主要</w:t>
      </w:r>
      <w:r>
        <w:rPr>
          <w:rFonts w:hint="eastAsia" w:ascii="仿宋_GB2312" w:eastAsia="仿宋_GB2312"/>
          <w:b w:val="0"/>
          <w:bCs w:val="0"/>
          <w:color w:val="auto"/>
          <w:sz w:val="32"/>
          <w:szCs w:val="32"/>
          <w:highlight w:val="none"/>
          <w:lang w:val="en-US" w:eastAsia="zh-CN"/>
        </w:rPr>
        <w:t>是</w:t>
      </w:r>
      <w:r>
        <w:rPr>
          <w:rFonts w:hint="default" w:ascii="仿宋_GB2312" w:eastAsia="仿宋_GB2312"/>
          <w:b w:val="0"/>
          <w:bCs w:val="0"/>
          <w:color w:val="auto"/>
          <w:sz w:val="32"/>
          <w:szCs w:val="32"/>
          <w:highlight w:val="none"/>
          <w:lang w:val="en-US" w:eastAsia="zh-CN"/>
        </w:rPr>
        <w:t>歌舞团、爱乐乐团、民乐团商业性演出收入增加；</w:t>
      </w:r>
      <w:r>
        <w:rPr>
          <w:rFonts w:hint="eastAsia" w:ascii="仿宋_GB2312" w:eastAsia="仿宋_GB2312"/>
          <w:b w:val="0"/>
          <w:bCs w:val="0"/>
          <w:color w:val="auto"/>
          <w:sz w:val="32"/>
          <w:szCs w:val="32"/>
          <w:highlight w:val="none"/>
          <w:lang w:val="en-US" w:eastAsia="zh-CN"/>
        </w:rPr>
        <w:t>三是</w:t>
      </w:r>
      <w:r>
        <w:rPr>
          <w:rFonts w:hint="default" w:ascii="仿宋_GB2312" w:eastAsia="仿宋_GB2312"/>
          <w:b w:val="0"/>
          <w:bCs w:val="0"/>
          <w:color w:val="auto"/>
          <w:sz w:val="32"/>
          <w:szCs w:val="32"/>
          <w:highlight w:val="none"/>
          <w:lang w:val="en-US" w:eastAsia="zh-CN"/>
        </w:rPr>
        <w:t>经营收入较上年增加136.28万元</w:t>
      </w:r>
      <w:bookmarkStart w:id="1" w:name="OLE_LINK1"/>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主要</w:t>
      </w:r>
      <w:bookmarkEnd w:id="1"/>
      <w:bookmarkStart w:id="2" w:name="OLE_LINK7"/>
      <w:r>
        <w:rPr>
          <w:rFonts w:hint="eastAsia" w:ascii="仿宋_GB2312" w:eastAsia="仿宋_GB2312"/>
          <w:b w:val="0"/>
          <w:bCs w:val="0"/>
          <w:color w:val="auto"/>
          <w:sz w:val="32"/>
          <w:szCs w:val="32"/>
          <w:highlight w:val="none"/>
          <w:lang w:val="en-US" w:eastAsia="zh-CN"/>
        </w:rPr>
        <w:t>是</w:t>
      </w:r>
      <w:r>
        <w:rPr>
          <w:rFonts w:hint="default" w:ascii="仿宋_GB2312" w:eastAsia="仿宋_GB2312"/>
          <w:b w:val="0"/>
          <w:bCs w:val="0"/>
          <w:color w:val="auto"/>
          <w:sz w:val="32"/>
          <w:szCs w:val="32"/>
          <w:highlight w:val="none"/>
          <w:lang w:val="en-US" w:eastAsia="zh-CN"/>
        </w:rPr>
        <w:t>新疆人民剧场经营</w:t>
      </w:r>
      <w:r>
        <w:rPr>
          <w:rFonts w:hint="eastAsia" w:ascii="仿宋_GB2312" w:eastAsia="仿宋_GB2312"/>
          <w:b w:val="0"/>
          <w:bCs w:val="0"/>
          <w:color w:val="auto"/>
          <w:sz w:val="32"/>
          <w:szCs w:val="32"/>
          <w:highlight w:val="none"/>
          <w:lang w:val="en-US" w:eastAsia="zh-CN"/>
        </w:rPr>
        <w:t>收入</w:t>
      </w:r>
      <w:r>
        <w:rPr>
          <w:rFonts w:hint="default" w:ascii="仿宋_GB2312" w:eastAsia="仿宋_GB2312"/>
          <w:b w:val="0"/>
          <w:bCs w:val="0"/>
          <w:color w:val="auto"/>
          <w:sz w:val="32"/>
          <w:szCs w:val="32"/>
          <w:highlight w:val="none"/>
          <w:lang w:val="en-US" w:eastAsia="zh-CN"/>
        </w:rPr>
        <w:t>较上年增</w:t>
      </w:r>
      <w:r>
        <w:rPr>
          <w:rFonts w:hint="eastAsia" w:ascii="仿宋_GB2312" w:eastAsia="仿宋_GB2312"/>
          <w:b w:val="0"/>
          <w:bCs w:val="0"/>
          <w:color w:val="auto"/>
          <w:sz w:val="32"/>
          <w:szCs w:val="32"/>
          <w:highlight w:val="none"/>
          <w:lang w:val="en-US" w:eastAsia="zh-CN"/>
        </w:rPr>
        <w:t>加</w:t>
      </w:r>
      <w:r>
        <w:rPr>
          <w:rFonts w:hint="default" w:ascii="仿宋_GB2312" w:eastAsia="仿宋_GB2312"/>
          <w:b w:val="0"/>
          <w:bCs w:val="0"/>
          <w:color w:val="auto"/>
          <w:sz w:val="32"/>
          <w:szCs w:val="32"/>
          <w:highlight w:val="none"/>
          <w:lang w:val="en-US" w:eastAsia="zh-CN"/>
        </w:rPr>
        <w:t>。</w:t>
      </w:r>
    </w:p>
    <w:bookmarkEnd w:id="2"/>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二、收入决算情况说明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本年收入24,153.45万元，</w:t>
      </w:r>
      <w:r>
        <w:rPr>
          <w:rFonts w:hint="default" w:ascii="仿宋_GB2312" w:eastAsia="仿宋_GB2312"/>
          <w:b w:val="0"/>
          <w:bCs w:val="0"/>
          <w:color w:val="auto"/>
          <w:sz w:val="32"/>
          <w:szCs w:val="32"/>
          <w:highlight w:val="none"/>
          <w:lang w:val="en-US" w:eastAsia="zh-CN"/>
        </w:rPr>
        <w:t>其中：财政拨款收入20,554.30万元,占85.10%；上级补助收入0.00万元,占0.00%；事业收入735.41万元，占3.04%；经营收入1,096.25万元,占4.54%；附属单位上缴收入0.00万元，占0.00%；其他收入1,767.48万元，占7.32%。</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三、支出决算情况说明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本年支出23,971.65万元，</w:t>
      </w:r>
      <w:r>
        <w:rPr>
          <w:rFonts w:hint="default" w:ascii="仿宋_GB2312" w:eastAsia="仿宋_GB2312"/>
          <w:b w:val="0"/>
          <w:bCs w:val="0"/>
          <w:color w:val="auto"/>
          <w:sz w:val="32"/>
          <w:szCs w:val="32"/>
          <w:highlight w:val="none"/>
          <w:lang w:val="en-US" w:eastAsia="zh-CN"/>
        </w:rPr>
        <w:t>其中：基本支出13,218.55万元，占55.14%；项目支出9,780.61万元，占40.80%；上缴上级支出0.00万元，占0.00%；经营支出972.49万元，占4.06%；对附属单位补助支出0.00万元，占0.00%。</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四、财政拨款收入支出决算总体情况说明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2024年度财政拨款收入总计20,554.30万元，</w:t>
      </w:r>
      <w:r>
        <w:rPr>
          <w:rFonts w:hint="default" w:ascii="仿宋_GB2312" w:eastAsia="仿宋_GB2312"/>
          <w:b w:val="0"/>
          <w:bCs w:val="0"/>
          <w:color w:val="auto"/>
          <w:sz w:val="32"/>
          <w:szCs w:val="32"/>
          <w:highlight w:val="none"/>
          <w:lang w:val="en-US" w:eastAsia="zh-CN"/>
        </w:rPr>
        <w:t>其中：年初财政拨款结转和结余0.00万元，本年财政拨款收入20,554.30万元。</w:t>
      </w:r>
      <w:r>
        <w:rPr>
          <w:rFonts w:hint="default" w:ascii="仿宋_GB2312" w:eastAsia="仿宋_GB2312"/>
          <w:b/>
          <w:bCs/>
          <w:color w:val="auto"/>
          <w:sz w:val="32"/>
          <w:szCs w:val="32"/>
          <w:highlight w:val="none"/>
          <w:lang w:val="en-US" w:eastAsia="zh-CN"/>
        </w:rPr>
        <w:t>财政拨款支出总计20,554.30万元</w:t>
      </w:r>
      <w:r>
        <w:rPr>
          <w:rFonts w:hint="default" w:ascii="仿宋_GB2312" w:eastAsia="仿宋_GB2312"/>
          <w:b w:val="0"/>
          <w:bCs w:val="0"/>
          <w:color w:val="auto"/>
          <w:sz w:val="32"/>
          <w:szCs w:val="32"/>
          <w:highlight w:val="none"/>
          <w:lang w:val="en-US" w:eastAsia="zh-CN"/>
        </w:rPr>
        <w:t>，其中：年末财政拨款结转和结余0.00万元，本年财政拨款支出20,554.30万元。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highlight w:val="none"/>
          <w:lang w:eastAsia="zh-CN"/>
        </w:rPr>
      </w:pPr>
      <w:r>
        <w:rPr>
          <w:rFonts w:hint="default" w:ascii="仿宋_GB2312" w:eastAsia="仿宋_GB2312"/>
          <w:b/>
          <w:bCs/>
          <w:color w:val="auto"/>
          <w:sz w:val="32"/>
          <w:szCs w:val="32"/>
          <w:highlight w:val="none"/>
          <w:lang w:val="en-US" w:eastAsia="zh-CN"/>
        </w:rPr>
        <w:t>财政拨款收入支出总体与上年相比，</w:t>
      </w:r>
      <w:r>
        <w:rPr>
          <w:rFonts w:hint="default" w:ascii="仿宋_GB2312" w:eastAsia="仿宋_GB2312"/>
          <w:b w:val="0"/>
          <w:bCs w:val="0"/>
          <w:color w:val="auto"/>
          <w:sz w:val="32"/>
          <w:szCs w:val="32"/>
          <w:highlight w:val="none"/>
          <w:lang w:val="en-US" w:eastAsia="zh-CN"/>
        </w:rPr>
        <w:t>增加1,403.91万元，增长7.33%，</w:t>
      </w:r>
      <w:bookmarkStart w:id="3" w:name="OLE_LINK9"/>
      <w:r>
        <w:rPr>
          <w:rFonts w:hint="default" w:ascii="仿宋_GB2312" w:eastAsia="仿宋_GB2312"/>
          <w:b w:val="0"/>
          <w:bCs w:val="0"/>
          <w:color w:val="auto"/>
          <w:sz w:val="32"/>
          <w:szCs w:val="32"/>
          <w:highlight w:val="none"/>
          <w:lang w:val="en-US" w:eastAsia="zh-CN"/>
        </w:rPr>
        <w:t>主要原因是：人员基础绩效奖增资、艰边贴增资、社保基数上调，人员经费支出整体增加，追加自治区文化艺术创作专项扶持资金、自治区文艺扶持激励项目、自治区旅游发展专项资金、新疆人才发展基金项目、中央补助地方公共文化服务体系建设补助资金(一般项目、绩效奖励)、新疆人才发展基金2024年度第一轮支持资金、文艺精品巡演项目、古尔邦节电视文艺晚会项目、文化和旅游部2024年订单式人才援助项项目等。</w:t>
      </w:r>
      <w:bookmarkEnd w:id="3"/>
      <w:r>
        <w:rPr>
          <w:rFonts w:hint="default" w:ascii="仿宋_GB2312" w:eastAsia="仿宋_GB2312"/>
          <w:b/>
          <w:bCs/>
          <w:color w:val="auto"/>
          <w:sz w:val="32"/>
          <w:szCs w:val="32"/>
          <w:highlight w:val="none"/>
          <w:lang w:val="en-US" w:eastAsia="zh-CN"/>
        </w:rPr>
        <w:t>与年初预算相比，</w:t>
      </w:r>
      <w:r>
        <w:rPr>
          <w:rFonts w:hint="default" w:ascii="仿宋_GB2312" w:eastAsia="仿宋_GB2312"/>
          <w:b w:val="0"/>
          <w:bCs w:val="0"/>
          <w:color w:val="auto"/>
          <w:sz w:val="32"/>
          <w:szCs w:val="32"/>
          <w:highlight w:val="none"/>
          <w:lang w:val="en-US" w:eastAsia="zh-CN"/>
        </w:rPr>
        <w:t>年初预算数16,378.69万元，决算数20,554.30万元，预决算差异率25.49%，主要原因是：</w:t>
      </w:r>
      <w:bookmarkStart w:id="4" w:name="OLE_LINK2"/>
      <w:r>
        <w:rPr>
          <w:rFonts w:hint="default" w:ascii="仿宋_GB2312" w:eastAsia="仿宋_GB2312"/>
          <w:b w:val="0"/>
          <w:bCs w:val="0"/>
          <w:color w:val="auto"/>
          <w:sz w:val="32"/>
          <w:szCs w:val="32"/>
          <w:highlight w:val="none"/>
          <w:lang w:val="en-US" w:eastAsia="zh-CN"/>
        </w:rPr>
        <w:t>人员基础绩效奖增资、艰边贴增资、社保基数上调，人员经费支出整体增加，追加自治区文化艺术创作专项扶持资金、自治区文艺扶持激励项目、自治区旅游发展专项资金、新疆人才发展基金项目、中央补助地方公共文化服务体系建设补助资金(一般项目、绩效奖励)、新疆人才发展基金2024年度第一轮支持资金、文艺精品巡演项目、古尔邦节电视文艺晚会项目、文化和旅游部2024年订单式人才援助项项目等。</w:t>
      </w:r>
    </w:p>
    <w:bookmarkEnd w:id="4"/>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五、一般公共预算财政拨款支出决算情况说明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highlight w:val="none"/>
        </w:rPr>
      </w:pPr>
      <w:r>
        <w:rPr>
          <w:rFonts w:hint="default" w:ascii="Times New Roman" w:hAnsi="Times New Roman" w:eastAsia="黑体" w:cs="Times New Roman"/>
          <w:b w:val="0"/>
          <w:bCs/>
          <w:sz w:val="32"/>
          <w:szCs w:val="32"/>
          <w:highlight w:val="none"/>
        </w:rPr>
        <w:t>（一）一般公共预算财政拨款支出决算总体情况</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2024年度一般公共预算财政拨款支出20,552.00万元，</w:t>
      </w:r>
      <w:r>
        <w:rPr>
          <w:rFonts w:hint="default" w:ascii="仿宋_GB2312" w:eastAsia="仿宋_GB2312"/>
          <w:b w:val="0"/>
          <w:bCs w:val="0"/>
          <w:color w:val="auto"/>
          <w:sz w:val="32"/>
          <w:szCs w:val="32"/>
          <w:highlight w:val="none"/>
          <w:lang w:val="en-US" w:eastAsia="zh-CN"/>
        </w:rPr>
        <w:t>占本年支出合计的85.73%。</w:t>
      </w:r>
      <w:r>
        <w:rPr>
          <w:rFonts w:hint="default" w:ascii="仿宋_GB2312" w:eastAsia="仿宋_GB2312"/>
          <w:b/>
          <w:bCs/>
          <w:color w:val="auto"/>
          <w:sz w:val="32"/>
          <w:szCs w:val="32"/>
          <w:highlight w:val="none"/>
          <w:lang w:val="en-US" w:eastAsia="zh-CN"/>
        </w:rPr>
        <w:t>与上年相比，</w:t>
      </w:r>
      <w:r>
        <w:rPr>
          <w:rFonts w:hint="default" w:ascii="仿宋_GB2312" w:eastAsia="仿宋_GB2312"/>
          <w:b w:val="0"/>
          <w:bCs w:val="0"/>
          <w:color w:val="auto"/>
          <w:sz w:val="32"/>
          <w:szCs w:val="32"/>
          <w:highlight w:val="none"/>
          <w:lang w:val="en-US" w:eastAsia="zh-CN"/>
        </w:rPr>
        <w:t>增加1,405.81万元，增长7.34%，主要原因是主要原因是人员基础绩效奖增资、艰边贴增资、社保基数上调，人员经费支出整体增加，另外财政追加自治区文化艺术创作专项扶持资金、自治区文艺扶持激励项目、自治区旅游发展专项资金、新疆人才发展基金项目、中央补助地方公共文化服务体系建设补助资金(一般项目、绩效奖励)、新疆人才发展基金2024年度第一轮支持资金、文艺精品巡演项目、古尔邦节电视文艺晚会项目、文化和旅游部2024年订单式人才援助项项目等。</w:t>
      </w:r>
      <w:r>
        <w:rPr>
          <w:rFonts w:hint="default" w:ascii="仿宋_GB2312" w:eastAsia="仿宋_GB2312"/>
          <w:b/>
          <w:bCs/>
          <w:color w:val="auto"/>
          <w:sz w:val="32"/>
          <w:szCs w:val="32"/>
          <w:highlight w:val="none"/>
          <w:lang w:val="en-US" w:eastAsia="zh-CN"/>
        </w:rPr>
        <w:t>与年初预算相比，</w:t>
      </w:r>
      <w:r>
        <w:rPr>
          <w:rFonts w:hint="default" w:ascii="仿宋_GB2312" w:eastAsia="仿宋_GB2312"/>
          <w:b w:val="0"/>
          <w:bCs w:val="0"/>
          <w:color w:val="auto"/>
          <w:sz w:val="32"/>
          <w:szCs w:val="32"/>
          <w:highlight w:val="none"/>
          <w:lang w:val="en-US" w:eastAsia="zh-CN"/>
        </w:rPr>
        <w:t>年初预算数16,376.39万元，决算数20,552.00万元，预决算差异率25.50%，主要原因是：主要原因是人员基础绩效奖增资、艰边贴增资、社保基数上调，人员经费支出整体增加，另外财政追加自治区文化艺术创作专项扶持资金、自治区文艺扶持激励项目、</w:t>
      </w:r>
      <w:bookmarkStart w:id="5" w:name="OLE_LINK3"/>
      <w:r>
        <w:rPr>
          <w:rFonts w:hint="default" w:ascii="仿宋_GB2312" w:eastAsia="仿宋_GB2312"/>
          <w:b w:val="0"/>
          <w:bCs w:val="0"/>
          <w:color w:val="auto"/>
          <w:sz w:val="32"/>
          <w:szCs w:val="32"/>
          <w:highlight w:val="none"/>
          <w:lang w:val="en-US" w:eastAsia="zh-CN"/>
        </w:rPr>
        <w:t>自治区旅游发展专项资金</w:t>
      </w:r>
      <w:bookmarkEnd w:id="5"/>
      <w:r>
        <w:rPr>
          <w:rFonts w:hint="default" w:ascii="仿宋_GB2312" w:eastAsia="仿宋_GB2312"/>
          <w:b w:val="0"/>
          <w:bCs w:val="0"/>
          <w:color w:val="auto"/>
          <w:sz w:val="32"/>
          <w:szCs w:val="32"/>
          <w:highlight w:val="none"/>
          <w:lang w:val="en-US" w:eastAsia="zh-CN"/>
        </w:rPr>
        <w:t>、新疆人才发展基金项目、中央补助地方公共文化服务体系建设补助资金(一般项目、绩效奖励)、新疆人才发展基金2024年度第一轮支持资金、文艺精品巡演项目、古尔邦节电视文艺晚会项目、文化和旅游部2024年订单式人才援助项项目等。</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（二）一般公共预算财政拨款支出决算结构情况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1.文化旅游体育与传媒支出（类）20,011.67万元，占97.37%。</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2.社会保障和就业支出（类）366.89万元，占1.79%。</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3.住房保障支出（类）173.44万元，占0.84%。</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（三）一般公共预算财政拨款支出决算具体情况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1.</w:t>
      </w:r>
      <w:r>
        <w:rPr>
          <w:rFonts w:hint="default" w:ascii="仿宋_GB2312" w:eastAsia="仿宋_GB2312"/>
          <w:b w:val="0"/>
          <w:bCs w:val="0"/>
          <w:color w:val="auto"/>
          <w:sz w:val="32"/>
          <w:szCs w:val="32"/>
          <w:highlight w:val="none"/>
          <w:lang w:val="en-US" w:eastAsia="zh-CN"/>
        </w:rPr>
        <w:t>文化旅游体育与传媒支出（类）文化和旅游（款）艺术表演场所（项）：支出决算数为1,117.42万元，比上年决算增加464.43万元，增长71.12%，主要原因是：一是本年新增新疆艺术剧院团结剧场演艺大厅灯光、音响、座椅采购项目支出500万元；二是</w:t>
      </w:r>
      <w:r>
        <w:rPr>
          <w:rFonts w:hint="eastAsia" w:ascii="仿宋_GB2312" w:eastAsia="仿宋_GB2312"/>
          <w:b w:val="0"/>
          <w:bCs w:val="0"/>
          <w:color w:val="auto"/>
          <w:sz w:val="32"/>
          <w:szCs w:val="32"/>
          <w:highlight w:val="none"/>
          <w:lang w:val="en-US" w:eastAsia="zh-CN"/>
        </w:rPr>
        <w:t>人民剧场、团结剧场</w:t>
      </w:r>
      <w:r>
        <w:rPr>
          <w:rFonts w:hint="default" w:ascii="仿宋_GB2312" w:eastAsia="仿宋_GB2312"/>
          <w:b w:val="0"/>
          <w:bCs w:val="0"/>
          <w:color w:val="auto"/>
          <w:sz w:val="32"/>
          <w:szCs w:val="32"/>
          <w:highlight w:val="none"/>
          <w:lang w:val="en-US" w:eastAsia="zh-CN"/>
        </w:rPr>
        <w:t>工资、社保基数变动，基础绩效奖变动</w:t>
      </w:r>
      <w:r>
        <w:rPr>
          <w:rFonts w:hint="eastAsia" w:ascii="仿宋_GB2312" w:eastAsia="仿宋_GB2312"/>
          <w:b w:val="0"/>
          <w:bCs w:val="0"/>
          <w:color w:val="auto"/>
          <w:sz w:val="32"/>
          <w:szCs w:val="32"/>
          <w:highlight w:val="none"/>
          <w:lang w:val="en-US" w:eastAsia="zh-CN"/>
        </w:rPr>
        <w:t>，导致</w:t>
      </w:r>
      <w:r>
        <w:rPr>
          <w:rFonts w:hint="default" w:ascii="仿宋_GB2312" w:eastAsia="仿宋_GB2312"/>
          <w:b w:val="0"/>
          <w:bCs w:val="0"/>
          <w:color w:val="auto"/>
          <w:sz w:val="32"/>
          <w:szCs w:val="32"/>
          <w:highlight w:val="none"/>
          <w:lang w:val="en-US" w:eastAsia="zh-CN"/>
        </w:rPr>
        <w:t>人员经费增加。</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2.</w:t>
      </w:r>
      <w:r>
        <w:rPr>
          <w:rFonts w:hint="default" w:ascii="仿宋_GB2312" w:eastAsia="仿宋_GB2312"/>
          <w:b w:val="0"/>
          <w:bCs w:val="0"/>
          <w:color w:val="auto"/>
          <w:sz w:val="32"/>
          <w:szCs w:val="32"/>
          <w:highlight w:val="none"/>
          <w:lang w:val="en-US" w:eastAsia="zh-CN"/>
        </w:rPr>
        <w:t>文化旅游体育与传媒支出（类）文化和旅游（款）艺术表演团体（项）：支出决算数为15,645.73万元，比上年决算增加356.15万元，增长2.33%，主要原因是：</w:t>
      </w:r>
      <w:r>
        <w:rPr>
          <w:rFonts w:hint="eastAsia" w:ascii="仿宋_GB2312" w:eastAsia="仿宋_GB2312"/>
          <w:b w:val="0"/>
          <w:bCs w:val="0"/>
          <w:color w:val="auto"/>
          <w:sz w:val="32"/>
          <w:szCs w:val="32"/>
          <w:highlight w:val="none"/>
          <w:lang w:val="en-US" w:eastAsia="zh-CN"/>
        </w:rPr>
        <w:t>各院团人员</w:t>
      </w:r>
      <w:r>
        <w:rPr>
          <w:rFonts w:hint="default" w:ascii="仿宋_GB2312" w:eastAsia="仿宋_GB2312"/>
          <w:b w:val="0"/>
          <w:bCs w:val="0"/>
          <w:color w:val="auto"/>
          <w:sz w:val="32"/>
          <w:szCs w:val="32"/>
          <w:highlight w:val="none"/>
          <w:lang w:val="en-US" w:eastAsia="zh-CN"/>
        </w:rPr>
        <w:t>正常晋升、社保基数变动，基础绩效奖变动</w:t>
      </w:r>
      <w:r>
        <w:rPr>
          <w:rFonts w:hint="eastAsia" w:ascii="仿宋_GB2312" w:eastAsia="仿宋_GB2312"/>
          <w:b w:val="0"/>
          <w:bCs w:val="0"/>
          <w:color w:val="auto"/>
          <w:sz w:val="32"/>
          <w:szCs w:val="32"/>
          <w:highlight w:val="none"/>
          <w:lang w:val="en-US" w:eastAsia="zh-CN"/>
        </w:rPr>
        <w:t>，导致</w:t>
      </w:r>
      <w:r>
        <w:rPr>
          <w:rFonts w:hint="default" w:ascii="仿宋_GB2312" w:eastAsia="仿宋_GB2312"/>
          <w:b w:val="0"/>
          <w:bCs w:val="0"/>
          <w:color w:val="auto"/>
          <w:sz w:val="32"/>
          <w:szCs w:val="32"/>
          <w:highlight w:val="none"/>
          <w:lang w:val="en-US" w:eastAsia="zh-CN"/>
        </w:rPr>
        <w:t>人员经费增加。本年度追加文艺精品巡演、文艺晚会项目等经费。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3.</w:t>
      </w:r>
      <w:r>
        <w:rPr>
          <w:rFonts w:hint="default" w:ascii="仿宋_GB2312" w:eastAsia="仿宋_GB2312"/>
          <w:b w:val="0"/>
          <w:bCs w:val="0"/>
          <w:color w:val="auto"/>
          <w:sz w:val="32"/>
          <w:szCs w:val="32"/>
          <w:highlight w:val="none"/>
          <w:lang w:val="en-US" w:eastAsia="zh-CN"/>
        </w:rPr>
        <w:t>文化旅游体育与传媒支出（类）文化和旅游（款）文化创作与保护（项）：支出决算数为1,066.20万元，比上年决算减少47.87万元，下降4.30%，主要原因是：本年度院团艺术创作资金，文艺扶持资金，非遗保护专项资金减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4.</w:t>
      </w:r>
      <w:r>
        <w:rPr>
          <w:rFonts w:hint="default" w:ascii="仿宋_GB2312" w:eastAsia="仿宋_GB2312"/>
          <w:b w:val="0"/>
          <w:bCs w:val="0"/>
          <w:color w:val="auto"/>
          <w:sz w:val="32"/>
          <w:szCs w:val="32"/>
          <w:highlight w:val="none"/>
          <w:lang w:val="en-US" w:eastAsia="zh-CN"/>
        </w:rPr>
        <w:t>文化旅游体育与传媒支出（类）文化和旅游（款）旅游宣传（项）：支出决算数为660.00万元，比上年决算增加660.00万元，增长100.00%，主要原因是：本年自治区旅游发展专项资金</w:t>
      </w:r>
      <w:r>
        <w:rPr>
          <w:rFonts w:hint="eastAsia" w:ascii="仿宋_GB2312" w:eastAsia="仿宋_GB2312"/>
          <w:b w:val="0"/>
          <w:bCs w:val="0"/>
          <w:color w:val="auto"/>
          <w:sz w:val="32"/>
          <w:szCs w:val="32"/>
          <w:highlight w:val="none"/>
          <w:lang w:val="en-US" w:eastAsia="zh-CN"/>
        </w:rPr>
        <w:t>在此科目支出，上年度</w:t>
      </w:r>
      <w:r>
        <w:rPr>
          <w:rFonts w:hint="default" w:ascii="仿宋_GB2312" w:eastAsia="仿宋_GB2312"/>
          <w:b w:val="0"/>
          <w:bCs w:val="0"/>
          <w:color w:val="auto"/>
          <w:sz w:val="32"/>
          <w:szCs w:val="32"/>
          <w:highlight w:val="none"/>
          <w:lang w:val="en-US" w:eastAsia="zh-CN"/>
        </w:rPr>
        <w:t>在艺术表演团体（</w:t>
      </w:r>
      <w:r>
        <w:rPr>
          <w:rFonts w:hint="eastAsia" w:ascii="仿宋_GB2312" w:eastAsia="仿宋_GB2312"/>
          <w:b w:val="0"/>
          <w:bCs w:val="0"/>
          <w:color w:val="auto"/>
          <w:sz w:val="32"/>
          <w:szCs w:val="32"/>
          <w:highlight w:val="none"/>
          <w:lang w:val="en-US" w:eastAsia="zh-CN"/>
        </w:rPr>
        <w:t>2070107</w:t>
      </w:r>
      <w:r>
        <w:rPr>
          <w:rFonts w:hint="default" w:ascii="仿宋_GB2312" w:eastAsia="仿宋_GB2312"/>
          <w:b w:val="0"/>
          <w:bCs w:val="0"/>
          <w:color w:val="auto"/>
          <w:sz w:val="32"/>
          <w:szCs w:val="32"/>
          <w:highlight w:val="none"/>
          <w:lang w:val="en-US" w:eastAsia="zh-CN"/>
        </w:rPr>
        <w:t>）列支。</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5.</w:t>
      </w:r>
      <w:r>
        <w:rPr>
          <w:rFonts w:hint="default" w:ascii="仿宋_GB2312" w:eastAsia="仿宋_GB2312"/>
          <w:b w:val="0"/>
          <w:bCs w:val="0"/>
          <w:color w:val="auto"/>
          <w:sz w:val="32"/>
          <w:szCs w:val="32"/>
          <w:highlight w:val="none"/>
          <w:lang w:val="en-US" w:eastAsia="zh-CN"/>
        </w:rPr>
        <w:t>文化旅游体育与传媒支出（类）文化和旅游（款）其他文化和旅游支出（项）：支出决算数为884.08万元，比上年决算减少177.48万元，下降16.72%，主要原因是：本年度减少安排文化人才专项经费及新疆人才发展基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6.</w:t>
      </w:r>
      <w:r>
        <w:rPr>
          <w:rFonts w:hint="default" w:ascii="仿宋_GB2312" w:eastAsia="仿宋_GB2312"/>
          <w:b w:val="0"/>
          <w:bCs w:val="0"/>
          <w:color w:val="auto"/>
          <w:sz w:val="32"/>
          <w:szCs w:val="32"/>
          <w:highlight w:val="none"/>
          <w:lang w:val="en-US" w:eastAsia="zh-CN"/>
        </w:rPr>
        <w:t>文化旅游体育与传媒支出（类）其他文化旅游体育与传媒支出（款）其他文化旅游体育与传媒支出（项）：支出决算数为638.24万元，比上年决算减少287.00万元，下降31.02%，主要原因是：本年度减少安排2024年中央补助地方公共文化服务体系建设补助资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7.</w:t>
      </w:r>
      <w:r>
        <w:rPr>
          <w:rFonts w:hint="default" w:ascii="仿宋_GB2312" w:eastAsia="仿宋_GB2312"/>
          <w:b w:val="0"/>
          <w:bCs w:val="0"/>
          <w:color w:val="auto"/>
          <w:sz w:val="32"/>
          <w:szCs w:val="32"/>
          <w:highlight w:val="none"/>
          <w:lang w:val="en-US" w:eastAsia="zh-CN"/>
        </w:rPr>
        <w:t>社会保障和就业支出（类）人力资源和社会保障管理事务（款）其他人力资源和社会保障管理事务支出（项）：支出决算数为20.00万元，比上年决算增加20.00万元，增长100.00%，主要原因是：本年增加新疆人才发展基金2024年度第一轮支持资金—天池英才引进计划经费</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8.</w:t>
      </w:r>
      <w:r>
        <w:rPr>
          <w:rFonts w:hint="default" w:ascii="仿宋_GB2312" w:eastAsia="仿宋_GB2312"/>
          <w:b w:val="0"/>
          <w:bCs w:val="0"/>
          <w:color w:val="auto"/>
          <w:sz w:val="32"/>
          <w:szCs w:val="32"/>
          <w:highlight w:val="none"/>
          <w:lang w:val="en-US" w:eastAsia="zh-CN"/>
        </w:rPr>
        <w:t>社会保障和就业支出（类）行政事业单位养老支出（款）事业单位离退休（项）：支出决算数为0.00万元，比上年决算减少0.70万元，下降100.00%，主要原因是：本年进行了类款项调整，202</w:t>
      </w:r>
      <w:r>
        <w:rPr>
          <w:rFonts w:hint="eastAsia" w:ascii="仿宋_GB2312" w:eastAsia="仿宋_GB2312"/>
          <w:b w:val="0"/>
          <w:bCs w:val="0"/>
          <w:color w:val="auto"/>
          <w:sz w:val="32"/>
          <w:szCs w:val="32"/>
          <w:highlight w:val="none"/>
          <w:lang w:val="en-US" w:eastAsia="zh-CN"/>
        </w:rPr>
        <w:t>4</w:t>
      </w:r>
      <w:r>
        <w:rPr>
          <w:rFonts w:hint="default" w:ascii="仿宋_GB2312" w:eastAsia="仿宋_GB2312"/>
          <w:b w:val="0"/>
          <w:bCs w:val="0"/>
          <w:color w:val="auto"/>
          <w:sz w:val="32"/>
          <w:szCs w:val="32"/>
          <w:highlight w:val="none"/>
          <w:lang w:val="en-US" w:eastAsia="zh-CN"/>
        </w:rPr>
        <w:t>年在艺术表演团体（</w:t>
      </w:r>
      <w:r>
        <w:rPr>
          <w:rFonts w:hint="eastAsia" w:ascii="仿宋_GB2312" w:eastAsia="仿宋_GB2312"/>
          <w:b w:val="0"/>
          <w:bCs w:val="0"/>
          <w:color w:val="auto"/>
          <w:sz w:val="32"/>
          <w:szCs w:val="32"/>
          <w:highlight w:val="none"/>
          <w:lang w:val="en-US" w:eastAsia="zh-CN"/>
        </w:rPr>
        <w:t>2070107</w:t>
      </w:r>
      <w:r>
        <w:rPr>
          <w:rFonts w:hint="default" w:ascii="仿宋_GB2312" w:eastAsia="仿宋_GB2312"/>
          <w:b w:val="0"/>
          <w:bCs w:val="0"/>
          <w:color w:val="auto"/>
          <w:sz w:val="32"/>
          <w:szCs w:val="32"/>
          <w:highlight w:val="none"/>
          <w:lang w:val="en-US" w:eastAsia="zh-CN"/>
        </w:rPr>
        <w:t>）列支</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9.社会保障和就业支出（类）行政事业单位养老支出（款）机关事业单位基本养老保险缴费支出（项）：支出决算数为231.26万元，比上年决算增加231.26万元，增长100.00%，主要原因是：本年进行了类款项调整，2023年在艺术表演团体（</w:t>
      </w:r>
      <w:r>
        <w:rPr>
          <w:rFonts w:hint="eastAsia" w:ascii="仿宋_GB2312" w:eastAsia="仿宋_GB2312"/>
          <w:b w:val="0"/>
          <w:bCs w:val="0"/>
          <w:color w:val="auto"/>
          <w:sz w:val="32"/>
          <w:szCs w:val="32"/>
          <w:highlight w:val="none"/>
          <w:lang w:val="en-US" w:eastAsia="zh-CN"/>
        </w:rPr>
        <w:t>2070107</w:t>
      </w:r>
      <w:r>
        <w:rPr>
          <w:rFonts w:hint="default" w:ascii="仿宋_GB2312" w:eastAsia="仿宋_GB2312"/>
          <w:b w:val="0"/>
          <w:bCs w:val="0"/>
          <w:color w:val="auto"/>
          <w:sz w:val="32"/>
          <w:szCs w:val="32"/>
          <w:highlight w:val="none"/>
          <w:lang w:val="en-US" w:eastAsia="zh-CN"/>
        </w:rPr>
        <w:t>）列支</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10.社会保障和就业支出（类）行政事业单位养老支出（款）机关事业单位职业年金缴费支出（项）：支出决算数为115.63万元，比上年决算增加115.63万元，增长100.00%，主要原因是：本年进行了类款项调整，2023年在艺术表演团体（</w:t>
      </w:r>
      <w:r>
        <w:rPr>
          <w:rFonts w:hint="eastAsia" w:ascii="仿宋_GB2312" w:eastAsia="仿宋_GB2312"/>
          <w:b w:val="0"/>
          <w:bCs w:val="0"/>
          <w:color w:val="auto"/>
          <w:sz w:val="32"/>
          <w:szCs w:val="32"/>
          <w:highlight w:val="none"/>
          <w:lang w:val="en-US" w:eastAsia="zh-CN"/>
        </w:rPr>
        <w:t>2070107</w:t>
      </w:r>
      <w:r>
        <w:rPr>
          <w:rFonts w:hint="default" w:ascii="仿宋_GB2312" w:eastAsia="仿宋_GB2312"/>
          <w:b w:val="0"/>
          <w:bCs w:val="0"/>
          <w:color w:val="auto"/>
          <w:sz w:val="32"/>
          <w:szCs w:val="32"/>
          <w:highlight w:val="none"/>
          <w:lang w:val="en-US" w:eastAsia="zh-CN"/>
        </w:rPr>
        <w:t>）列支</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11.农林水支出（类）林业和草原（款）其他林业和草原支出（项）：支出决算数为0.00万元，比上年决算减少20.00万元，下降100.00%，主要原因是：本年度新疆艺术剧院本级减少安排该项资金。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eastAsia"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12.住房保障支出（类）住房改革支出（款）住房公积金（项）：支出决算数为173.44万元，比上年决算增加91.40万元，增长111.41%，主要原因是：本年进行了类款项调整，2023年在艺术表演团体（</w:t>
      </w:r>
      <w:r>
        <w:rPr>
          <w:rFonts w:hint="eastAsia" w:ascii="仿宋_GB2312" w:eastAsia="仿宋_GB2312"/>
          <w:b w:val="0"/>
          <w:bCs w:val="0"/>
          <w:color w:val="auto"/>
          <w:sz w:val="32"/>
          <w:szCs w:val="32"/>
          <w:highlight w:val="none"/>
          <w:lang w:val="en-US" w:eastAsia="zh-CN"/>
        </w:rPr>
        <w:t>2070107</w:t>
      </w:r>
      <w:r>
        <w:rPr>
          <w:rFonts w:hint="default" w:ascii="仿宋_GB2312" w:eastAsia="仿宋_GB2312"/>
          <w:b w:val="0"/>
          <w:bCs w:val="0"/>
          <w:color w:val="auto"/>
          <w:sz w:val="32"/>
          <w:szCs w:val="32"/>
          <w:highlight w:val="none"/>
          <w:lang w:val="en-US" w:eastAsia="zh-CN"/>
        </w:rPr>
        <w:t>）列支</w:t>
      </w:r>
      <w:r>
        <w:rPr>
          <w:rFonts w:hint="eastAsia"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六、一般公共预算财政拨款基本支出决算情况说明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2024年度一般公共预算财政拨款基本支出13,030.15万元，其中：</w:t>
      </w:r>
      <w:r>
        <w:rPr>
          <w:rFonts w:hint="default" w:ascii="仿宋_GB2312" w:eastAsia="仿宋_GB2312"/>
          <w:b/>
          <w:bCs/>
          <w:color w:val="auto"/>
          <w:sz w:val="32"/>
          <w:szCs w:val="32"/>
          <w:highlight w:val="none"/>
          <w:lang w:val="en-US" w:eastAsia="zh-CN"/>
        </w:rPr>
        <w:t>人员经费12,025.93万元</w:t>
      </w:r>
      <w:r>
        <w:rPr>
          <w:rFonts w:hint="default" w:ascii="仿宋_GB2312" w:eastAsia="仿宋_GB2312"/>
          <w:b w:val="0"/>
          <w:bCs w:val="0"/>
          <w:color w:val="auto"/>
          <w:sz w:val="32"/>
          <w:szCs w:val="32"/>
          <w:highlight w:val="none"/>
          <w:lang w:val="en-US" w:eastAsia="zh-CN"/>
        </w:rPr>
        <w:t>，包括：基本工资、津贴补贴、奖金、绩效工资、机关事业单位基本养老保险缴费、职业年金缴费、职工基本医疗保险缴费、公务员医疗补助缴费、其他社会保障缴费、住房公积金、其他工资福利支出、离休费、退休费、抚恤金、生活补助、奖励金和其他对个人和家庭的补助。</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公用经费1,004.22万元，</w:t>
      </w:r>
      <w:r>
        <w:rPr>
          <w:rFonts w:hint="default" w:ascii="仿宋_GB2312" w:eastAsia="仿宋_GB2312"/>
          <w:b w:val="0"/>
          <w:bCs w:val="0"/>
          <w:color w:val="auto"/>
          <w:sz w:val="32"/>
          <w:szCs w:val="32"/>
          <w:highlight w:val="none"/>
          <w:lang w:val="en-US" w:eastAsia="zh-CN"/>
        </w:rPr>
        <w:t>包括：办公费、水费、电费、邮电费、取暖费、物业管理费、差旅费、维修（护）费、专用材料费、劳务费、委托业务费、工会经费、福利费、公务用车运行维护费、其他交通费用和其他商品和服务支出。</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七、政府性基金预算财政拨款收入支出决算情况说明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2024年度政府性基金预算财政拨款收入总计2.30万元，</w:t>
      </w:r>
      <w:r>
        <w:rPr>
          <w:rFonts w:hint="default" w:ascii="仿宋_GB2312" w:eastAsia="仿宋_GB2312"/>
          <w:b w:val="0"/>
          <w:bCs w:val="0"/>
          <w:color w:val="auto"/>
          <w:sz w:val="32"/>
          <w:szCs w:val="32"/>
          <w:highlight w:val="none"/>
          <w:lang w:val="en-US" w:eastAsia="zh-CN"/>
        </w:rPr>
        <w:t>其中：年初结转和结余0.00万元，本年收入2.30万元。</w:t>
      </w:r>
      <w:r>
        <w:rPr>
          <w:rFonts w:hint="default" w:ascii="仿宋_GB2312" w:eastAsia="仿宋_GB2312"/>
          <w:b/>
          <w:bCs/>
          <w:color w:val="auto"/>
          <w:sz w:val="32"/>
          <w:szCs w:val="32"/>
          <w:highlight w:val="none"/>
          <w:lang w:val="en-US" w:eastAsia="zh-CN"/>
        </w:rPr>
        <w:t>政府性基金预算财政拨款支出总计2.30万元，</w:t>
      </w:r>
      <w:r>
        <w:rPr>
          <w:rFonts w:hint="default" w:ascii="仿宋_GB2312" w:eastAsia="仿宋_GB2312"/>
          <w:b w:val="0"/>
          <w:bCs w:val="0"/>
          <w:color w:val="auto"/>
          <w:sz w:val="32"/>
          <w:szCs w:val="32"/>
          <w:highlight w:val="none"/>
          <w:lang w:val="en-US" w:eastAsia="zh-CN"/>
        </w:rPr>
        <w:t>其中：年末结转和结余0.00万元，本年支出2.30万元。</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政府性基金预算财政拨款收入支出总体与上年相比</w:t>
      </w:r>
      <w:r>
        <w:rPr>
          <w:rFonts w:hint="default" w:ascii="仿宋_GB2312" w:eastAsia="仿宋_GB2312"/>
          <w:b w:val="0"/>
          <w:bCs w:val="0"/>
          <w:color w:val="auto"/>
          <w:sz w:val="32"/>
          <w:szCs w:val="32"/>
          <w:highlight w:val="none"/>
          <w:lang w:val="en-US" w:eastAsia="zh-CN"/>
        </w:rPr>
        <w:t>，减少1.90万元，下降45.24%，主要原因是：</w:t>
      </w:r>
      <w:bookmarkStart w:id="6" w:name="OLE_LINK4"/>
      <w:r>
        <w:rPr>
          <w:rFonts w:hint="default" w:ascii="仿宋_GB2312" w:eastAsia="仿宋_GB2312"/>
          <w:b w:val="0"/>
          <w:bCs w:val="0"/>
          <w:color w:val="auto"/>
          <w:sz w:val="32"/>
          <w:szCs w:val="32"/>
          <w:highlight w:val="none"/>
          <w:lang w:val="en-US" w:eastAsia="zh-CN"/>
        </w:rPr>
        <w:t>新疆人民剧场</w:t>
      </w:r>
      <w:bookmarkEnd w:id="6"/>
      <w:r>
        <w:rPr>
          <w:rFonts w:hint="default" w:ascii="仿宋_GB2312" w:eastAsia="仿宋_GB2312"/>
          <w:b w:val="0"/>
          <w:bCs w:val="0"/>
          <w:color w:val="auto"/>
          <w:sz w:val="32"/>
          <w:szCs w:val="32"/>
          <w:highlight w:val="none"/>
          <w:lang w:val="en-US" w:eastAsia="zh-CN"/>
        </w:rPr>
        <w:t>自治区电影事业发展专项资金-影院疫情纾困资金</w:t>
      </w:r>
      <w:r>
        <w:rPr>
          <w:rFonts w:hint="eastAsia" w:ascii="仿宋_GB2312" w:eastAsia="仿宋_GB2312"/>
          <w:b w:val="0"/>
          <w:bCs w:val="0"/>
          <w:color w:val="auto"/>
          <w:sz w:val="32"/>
          <w:szCs w:val="32"/>
          <w:highlight w:val="none"/>
          <w:lang w:val="en-US" w:eastAsia="zh-CN"/>
        </w:rPr>
        <w:t>本年</w:t>
      </w:r>
      <w:r>
        <w:rPr>
          <w:rFonts w:hint="default" w:ascii="仿宋_GB2312" w:eastAsia="仿宋_GB2312"/>
          <w:b w:val="0"/>
          <w:bCs w:val="0"/>
          <w:color w:val="auto"/>
          <w:sz w:val="32"/>
          <w:szCs w:val="32"/>
          <w:highlight w:val="none"/>
          <w:lang w:val="en-US" w:eastAsia="zh-CN"/>
        </w:rPr>
        <w:t>减少1.90万元。</w:t>
      </w:r>
      <w:r>
        <w:rPr>
          <w:rFonts w:hint="default" w:ascii="仿宋_GB2312" w:eastAsia="仿宋_GB2312"/>
          <w:b/>
          <w:bCs/>
          <w:color w:val="auto"/>
          <w:sz w:val="32"/>
          <w:szCs w:val="32"/>
          <w:highlight w:val="none"/>
          <w:lang w:val="en-US" w:eastAsia="zh-CN"/>
        </w:rPr>
        <w:t>与年初预算相比，</w:t>
      </w:r>
      <w:r>
        <w:rPr>
          <w:rFonts w:hint="default" w:ascii="仿宋_GB2312" w:eastAsia="仿宋_GB2312"/>
          <w:b w:val="0"/>
          <w:bCs w:val="0"/>
          <w:color w:val="auto"/>
          <w:sz w:val="32"/>
          <w:szCs w:val="32"/>
          <w:highlight w:val="none"/>
          <w:lang w:val="en-US" w:eastAsia="zh-CN"/>
        </w:rPr>
        <w:t>年初预算数2.30万元，决算数2.30万元，预决算差异率0%，主要原因是：</w:t>
      </w:r>
      <w:r>
        <w:rPr>
          <w:rFonts w:hint="eastAsia" w:ascii="仿宋_GB2312" w:eastAsia="仿宋_GB2312"/>
          <w:b w:val="0"/>
          <w:bCs w:val="0"/>
          <w:color w:val="auto"/>
          <w:sz w:val="32"/>
          <w:szCs w:val="32"/>
          <w:highlight w:val="none"/>
          <w:lang w:val="en-US" w:eastAsia="zh-CN"/>
        </w:rPr>
        <w:t>严格按照年初预算执行，本年支出与预算安排一致，无差异</w:t>
      </w:r>
      <w:r>
        <w:rPr>
          <w:rFonts w:hint="default"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政府性基金预算财政拨款支出2.30万元。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eastAsia" w:ascii="仿宋_GB2312" w:eastAsia="仿宋_GB2312"/>
          <w:b w:val="0"/>
          <w:bCs w:val="0"/>
          <w:color w:val="auto"/>
          <w:sz w:val="32"/>
          <w:szCs w:val="32"/>
          <w:highlight w:val="none"/>
          <w:lang w:val="en-US" w:eastAsia="zh-CN"/>
        </w:rPr>
        <w:t>1.</w:t>
      </w:r>
      <w:r>
        <w:rPr>
          <w:rFonts w:hint="default" w:ascii="仿宋_GB2312" w:eastAsia="仿宋_GB2312"/>
          <w:b w:val="0"/>
          <w:bCs w:val="0"/>
          <w:color w:val="auto"/>
          <w:sz w:val="32"/>
          <w:szCs w:val="32"/>
          <w:highlight w:val="none"/>
          <w:lang w:val="en-US" w:eastAsia="zh-CN"/>
        </w:rPr>
        <w:t>文化旅游体育与传媒支出（类）国家电影事业发展专项资金安排的支出（款）其他国家电影事业发展专项资金支出（项）：支出决算数为2.30万元，比上年决算减少1.90万元，下降45.24%，主要原因是：新疆人民剧场自治区电影事业发展专项资金-影院疫情纾困资金</w:t>
      </w:r>
      <w:r>
        <w:rPr>
          <w:rFonts w:hint="eastAsia" w:ascii="仿宋_GB2312" w:eastAsia="仿宋_GB2312"/>
          <w:b w:val="0"/>
          <w:bCs w:val="0"/>
          <w:color w:val="auto"/>
          <w:sz w:val="32"/>
          <w:szCs w:val="32"/>
          <w:highlight w:val="none"/>
          <w:lang w:val="en-US" w:eastAsia="zh-CN"/>
        </w:rPr>
        <w:t>本年</w:t>
      </w:r>
      <w:r>
        <w:rPr>
          <w:rFonts w:hint="default" w:ascii="仿宋_GB2312" w:eastAsia="仿宋_GB2312"/>
          <w:b w:val="0"/>
          <w:bCs w:val="0"/>
          <w:color w:val="auto"/>
          <w:sz w:val="32"/>
          <w:szCs w:val="32"/>
          <w:highlight w:val="none"/>
          <w:lang w:val="en-US" w:eastAsia="zh-CN"/>
        </w:rPr>
        <w:t>减少1.90万元。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八、国有资本经营预算财政拨款收入支出决算情况说明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本部门本年度无国有资本经营预算财政拨款收入、支出及结转和结余，国有资本经营预算财政拨款收入支出决算表为空表。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九、财政拨款</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三公</w:t>
      </w:r>
      <w:r>
        <w:rPr>
          <w:rFonts w:hint="eastAsia" w:ascii="Times New Roman" w:hAnsi="Times New Roman" w:eastAsia="黑体" w:cs="Times New Roman"/>
          <w:sz w:val="32"/>
          <w:szCs w:val="32"/>
          <w:highlight w:val="none"/>
          <w:lang w:eastAsia="zh-CN"/>
        </w:rPr>
        <w:t>”</w:t>
      </w:r>
      <w:r>
        <w:rPr>
          <w:rFonts w:hint="default" w:ascii="Times New Roman" w:hAnsi="Times New Roman" w:eastAsia="黑体" w:cs="Times New Roman"/>
          <w:sz w:val="32"/>
          <w:szCs w:val="32"/>
          <w:highlight w:val="none"/>
        </w:rPr>
        <w:t>经费支出决算情况说明</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2024年度财政拨款</w:t>
      </w:r>
      <w:r>
        <w:rPr>
          <w:rFonts w:hint="eastAsia" w:ascii="仿宋_GB2312" w:eastAsia="仿宋_GB2312"/>
          <w:b/>
          <w:bCs/>
          <w:color w:val="auto"/>
          <w:sz w:val="32"/>
          <w:szCs w:val="32"/>
          <w:highlight w:val="none"/>
          <w:lang w:val="en-US" w:eastAsia="zh-CN"/>
        </w:rPr>
        <w:t>“</w:t>
      </w:r>
      <w:r>
        <w:rPr>
          <w:rFonts w:hint="default" w:ascii="仿宋_GB2312" w:eastAsia="仿宋_GB2312"/>
          <w:b/>
          <w:bCs/>
          <w:color w:val="auto"/>
          <w:sz w:val="32"/>
          <w:szCs w:val="32"/>
          <w:highlight w:val="none"/>
          <w:lang w:val="en-US" w:eastAsia="zh-CN"/>
        </w:rPr>
        <w:t>三公</w:t>
      </w:r>
      <w:r>
        <w:rPr>
          <w:rFonts w:hint="eastAsia" w:ascii="仿宋_GB2312" w:eastAsia="仿宋_GB2312"/>
          <w:b/>
          <w:bCs/>
          <w:color w:val="auto"/>
          <w:sz w:val="32"/>
          <w:szCs w:val="32"/>
          <w:highlight w:val="none"/>
          <w:lang w:val="en-US" w:eastAsia="zh-CN"/>
        </w:rPr>
        <w:t>”</w:t>
      </w:r>
      <w:r>
        <w:rPr>
          <w:rFonts w:hint="default" w:ascii="仿宋_GB2312" w:eastAsia="仿宋_GB2312"/>
          <w:b/>
          <w:bCs/>
          <w:color w:val="auto"/>
          <w:sz w:val="32"/>
          <w:szCs w:val="32"/>
          <w:highlight w:val="none"/>
          <w:lang w:val="en-US" w:eastAsia="zh-CN"/>
        </w:rPr>
        <w:t>经费支出27.55万元，</w:t>
      </w:r>
      <w:r>
        <w:rPr>
          <w:rFonts w:hint="default" w:ascii="仿宋_GB2312" w:eastAsia="仿宋_GB2312"/>
          <w:b w:val="0"/>
          <w:bCs w:val="0"/>
          <w:color w:val="auto"/>
          <w:sz w:val="32"/>
          <w:szCs w:val="32"/>
          <w:highlight w:val="none"/>
          <w:lang w:val="en-US" w:eastAsia="zh-CN"/>
        </w:rPr>
        <w:t>比上年减少0.33万元，下降1.18%，主要原因是：</w:t>
      </w:r>
      <w:r>
        <w:rPr>
          <w:rFonts w:hint="eastAsia" w:ascii="仿宋_GB2312" w:eastAsia="仿宋_GB2312"/>
          <w:b w:val="0"/>
          <w:bCs w:val="0"/>
          <w:color w:val="auto"/>
          <w:sz w:val="32"/>
          <w:szCs w:val="32"/>
          <w:highlight w:val="none"/>
          <w:lang w:val="en-US" w:eastAsia="zh-CN"/>
        </w:rPr>
        <w:t>本年厉行节约，减少</w:t>
      </w:r>
      <w:r>
        <w:rPr>
          <w:rFonts w:hint="default" w:ascii="仿宋_GB2312" w:eastAsia="仿宋_GB2312"/>
          <w:b w:val="0"/>
          <w:bCs w:val="0"/>
          <w:color w:val="auto"/>
          <w:sz w:val="32"/>
          <w:szCs w:val="32"/>
          <w:highlight w:val="none"/>
          <w:lang w:val="en-US" w:eastAsia="zh-CN"/>
        </w:rPr>
        <w:t>公务用车运行维护费和公务接待费。其中：</w:t>
      </w:r>
      <w:r>
        <w:rPr>
          <w:rFonts w:hint="default" w:ascii="仿宋_GB2312" w:eastAsia="仿宋_GB2312"/>
          <w:b w:val="0"/>
          <w:bCs w:val="0"/>
          <w:color w:val="auto"/>
          <w:sz w:val="32"/>
          <w:szCs w:val="32"/>
          <w:highlight w:val="none"/>
          <w:lang w:val="zh-CN" w:eastAsia="zh-CN"/>
        </w:rPr>
        <w:t>因公出国（境）费支出0.00万元，占0.00%，比上年增加0.00万元，</w:t>
      </w:r>
      <w:r>
        <w:rPr>
          <w:rFonts w:hint="default" w:ascii="仿宋_GB2312" w:eastAsia="仿宋_GB2312"/>
          <w:b w:val="0"/>
          <w:bCs w:val="0"/>
          <w:color w:val="auto"/>
          <w:sz w:val="32"/>
          <w:szCs w:val="32"/>
          <w:highlight w:val="none"/>
          <w:lang w:val="en-US" w:eastAsia="zh-CN"/>
        </w:rPr>
        <w:t>增长0.00%，</w:t>
      </w:r>
      <w:r>
        <w:rPr>
          <w:rFonts w:hint="default" w:ascii="仿宋_GB2312" w:eastAsia="仿宋_GB2312"/>
          <w:b w:val="0"/>
          <w:bCs w:val="0"/>
          <w:color w:val="auto"/>
          <w:sz w:val="32"/>
          <w:szCs w:val="32"/>
          <w:highlight w:val="none"/>
          <w:lang w:val="zh-CN" w:eastAsia="zh-CN"/>
        </w:rPr>
        <w:t>主要原因是：</w:t>
      </w:r>
      <w:r>
        <w:rPr>
          <w:rFonts w:hint="eastAsia" w:ascii="仿宋_GB2312" w:eastAsia="仿宋_GB2312"/>
          <w:b w:val="0"/>
          <w:bCs w:val="0"/>
          <w:color w:val="auto"/>
          <w:sz w:val="32"/>
          <w:szCs w:val="32"/>
          <w:highlight w:val="none"/>
          <w:lang w:val="en-US" w:eastAsia="zh-CN"/>
        </w:rPr>
        <w:t>2023年与2024年均</w:t>
      </w:r>
      <w:r>
        <w:rPr>
          <w:rFonts w:hint="default" w:ascii="仿宋_GB2312" w:eastAsia="仿宋_GB2312"/>
          <w:b w:val="0"/>
          <w:bCs w:val="0"/>
          <w:color w:val="auto"/>
          <w:sz w:val="32"/>
          <w:szCs w:val="32"/>
          <w:highlight w:val="none"/>
          <w:lang w:val="en-US" w:eastAsia="zh-CN"/>
        </w:rPr>
        <w:t>未安排</w:t>
      </w:r>
      <w:r>
        <w:rPr>
          <w:rFonts w:hint="default" w:ascii="仿宋_GB2312" w:eastAsia="仿宋_GB2312"/>
          <w:b w:val="0"/>
          <w:bCs w:val="0"/>
          <w:color w:val="auto"/>
          <w:sz w:val="32"/>
          <w:szCs w:val="32"/>
          <w:highlight w:val="none"/>
          <w:lang w:val="zh-CN" w:eastAsia="zh-CN"/>
        </w:rPr>
        <w:t>因公出国（境）费</w:t>
      </w:r>
      <w:r>
        <w:rPr>
          <w:rFonts w:hint="default" w:ascii="仿宋_GB2312" w:eastAsia="仿宋_GB2312"/>
          <w:b w:val="0"/>
          <w:bCs w:val="0"/>
          <w:color w:val="auto"/>
          <w:sz w:val="32"/>
          <w:szCs w:val="32"/>
          <w:highlight w:val="none"/>
          <w:lang w:val="en-US" w:eastAsia="zh-CN"/>
        </w:rPr>
        <w:t>支出</w:t>
      </w:r>
      <w:r>
        <w:rPr>
          <w:rFonts w:hint="default" w:ascii="仿宋_GB2312" w:eastAsia="仿宋_GB2312"/>
          <w:b w:val="0"/>
          <w:bCs w:val="0"/>
          <w:color w:val="auto"/>
          <w:sz w:val="32"/>
          <w:szCs w:val="32"/>
          <w:highlight w:val="none"/>
          <w:lang w:val="zh-CN" w:eastAsia="zh-CN"/>
        </w:rPr>
        <w:t>；</w:t>
      </w:r>
      <w:r>
        <w:rPr>
          <w:rFonts w:hint="default" w:ascii="仿宋_GB2312" w:eastAsia="仿宋_GB2312"/>
          <w:b w:val="0"/>
          <w:bCs w:val="0"/>
          <w:color w:val="auto"/>
          <w:sz w:val="32"/>
          <w:szCs w:val="32"/>
          <w:highlight w:val="none"/>
          <w:lang w:val="en-US" w:eastAsia="zh-CN"/>
        </w:rPr>
        <w:t>公务用车购置及运行维护费支出27.55万元，占100.00%，比上年减少0.20万元，下降0.72%，主要原因是：</w:t>
      </w:r>
      <w:r>
        <w:rPr>
          <w:rFonts w:hint="eastAsia" w:ascii="仿宋_GB2312" w:eastAsia="仿宋_GB2312"/>
          <w:b w:val="0"/>
          <w:bCs w:val="0"/>
          <w:color w:val="auto"/>
          <w:sz w:val="32"/>
          <w:szCs w:val="32"/>
          <w:highlight w:val="none"/>
          <w:lang w:val="en-US" w:eastAsia="zh-CN"/>
        </w:rPr>
        <w:t>本年厉行节约，减少</w:t>
      </w:r>
      <w:r>
        <w:rPr>
          <w:rFonts w:hint="default" w:ascii="仿宋_GB2312" w:eastAsia="仿宋_GB2312"/>
          <w:b w:val="0"/>
          <w:bCs w:val="0"/>
          <w:color w:val="auto"/>
          <w:sz w:val="32"/>
          <w:szCs w:val="32"/>
          <w:highlight w:val="none"/>
          <w:lang w:val="en-US" w:eastAsia="zh-CN"/>
        </w:rPr>
        <w:t>公务用车运行维护费；公务接待费支出0.00万元，占0.00%，比上年减少0.13万元，下降100%，主要原因是：</w:t>
      </w:r>
      <w:r>
        <w:rPr>
          <w:rFonts w:hint="eastAsia" w:ascii="仿宋_GB2312" w:eastAsia="仿宋_GB2312"/>
          <w:b w:val="0"/>
          <w:bCs w:val="0"/>
          <w:color w:val="auto"/>
          <w:sz w:val="32"/>
          <w:szCs w:val="32"/>
          <w:highlight w:val="none"/>
          <w:lang w:val="en-US" w:eastAsia="zh-CN"/>
        </w:rPr>
        <w:t>本年厉行节约，减少</w:t>
      </w:r>
      <w:r>
        <w:rPr>
          <w:rFonts w:hint="default" w:ascii="仿宋_GB2312" w:eastAsia="仿宋_GB2312"/>
          <w:b w:val="0"/>
          <w:bCs w:val="0"/>
          <w:color w:val="auto"/>
          <w:sz w:val="32"/>
          <w:szCs w:val="32"/>
          <w:highlight w:val="none"/>
          <w:lang w:val="en-US" w:eastAsia="zh-CN"/>
        </w:rPr>
        <w:t>公务接待费。</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textAlignment w:val="auto"/>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具体情况如下：</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因公出国（境）费支出0.00万元，开支内容包括</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本单位年初未安排因公出国（境）费。单位全年安排的因公出国（境）团组0个，因公出国（境）0人次。</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公务用车购置及运行维护费27.55万元，其中：公务用车购置费0.00万元，公务用车运行维护费27.55万元。公务用车运行维护费开支内容包括</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公务车辆燃油费、过路费、车辆检测费、保险费等。公务用车购置数0辆，公务用车保有量20辆。国有资产占用情况中固定资产车辆36辆，与公务用车保有量差异原因是：新疆艺术剧院歌剧团4辆车</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新疆艺术剧院木卡姆团5辆车</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新疆艺术剧院话剧团6辆</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新疆艺术剧院团结剧场1辆车</w:t>
      </w:r>
      <w:r>
        <w:rPr>
          <w:rFonts w:hint="eastAsia" w:ascii="仿宋_GB2312" w:eastAsia="仿宋_GB2312"/>
          <w:b w:val="0"/>
          <w:bCs w:val="0"/>
          <w:color w:val="auto"/>
          <w:sz w:val="32"/>
          <w:szCs w:val="32"/>
          <w:highlight w:val="none"/>
          <w:lang w:val="en-US" w:eastAsia="zh-CN"/>
        </w:rPr>
        <w:t>均由各单位</w:t>
      </w:r>
      <w:r>
        <w:rPr>
          <w:rFonts w:hint="default" w:ascii="仿宋_GB2312" w:eastAsia="仿宋_GB2312"/>
          <w:b w:val="0"/>
          <w:bCs w:val="0"/>
          <w:color w:val="auto"/>
          <w:sz w:val="32"/>
          <w:szCs w:val="32"/>
          <w:highlight w:val="none"/>
          <w:lang w:val="en-US" w:eastAsia="zh-CN"/>
        </w:rPr>
        <w:t>自有资金</w:t>
      </w:r>
      <w:r>
        <w:rPr>
          <w:rFonts w:hint="eastAsia" w:ascii="仿宋_GB2312" w:eastAsia="仿宋_GB2312"/>
          <w:b w:val="0"/>
          <w:bCs w:val="0"/>
          <w:color w:val="auto"/>
          <w:sz w:val="32"/>
          <w:szCs w:val="32"/>
          <w:highlight w:val="none"/>
          <w:lang w:val="en-US" w:eastAsia="zh-CN"/>
        </w:rPr>
        <w:t>支出，未在公务用车保有量中进行统计</w:t>
      </w:r>
      <w:r>
        <w:rPr>
          <w:rFonts w:hint="default"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公务接待费0.00万元，</w:t>
      </w:r>
      <w:r>
        <w:rPr>
          <w:rFonts w:hint="default" w:ascii="仿宋_GB2312" w:eastAsia="仿宋_GB2312"/>
          <w:b w:val="0"/>
          <w:bCs w:val="0"/>
          <w:color w:val="auto"/>
          <w:sz w:val="32"/>
          <w:szCs w:val="32"/>
          <w:highlight w:val="none"/>
          <w:lang w:val="zh-CN" w:eastAsia="zh-CN"/>
        </w:rPr>
        <w:t>开支内容包括</w:t>
      </w:r>
      <w:r>
        <w:rPr>
          <w:rFonts w:hint="eastAsia" w:ascii="仿宋_GB2312" w:eastAsia="仿宋_GB2312"/>
          <w:b w:val="0"/>
          <w:bCs w:val="0"/>
          <w:color w:val="auto"/>
          <w:sz w:val="32"/>
          <w:szCs w:val="32"/>
          <w:highlight w:val="none"/>
          <w:lang w:val="zh-CN" w:eastAsia="zh-CN"/>
        </w:rPr>
        <w:t>：</w:t>
      </w:r>
      <w:r>
        <w:rPr>
          <w:rFonts w:hint="default" w:ascii="仿宋_GB2312" w:eastAsia="仿宋_GB2312"/>
          <w:b w:val="0"/>
          <w:bCs w:val="0"/>
          <w:color w:val="auto"/>
          <w:sz w:val="32"/>
          <w:szCs w:val="32"/>
          <w:highlight w:val="none"/>
          <w:lang w:val="en-US" w:eastAsia="zh-CN"/>
        </w:rPr>
        <w:t>本单位</w:t>
      </w:r>
      <w:r>
        <w:rPr>
          <w:rFonts w:hint="eastAsia" w:ascii="仿宋_GB2312" w:eastAsia="仿宋_GB2312"/>
          <w:b w:val="0"/>
          <w:bCs w:val="0"/>
          <w:color w:val="auto"/>
          <w:sz w:val="32"/>
          <w:szCs w:val="32"/>
          <w:highlight w:val="none"/>
          <w:lang w:val="en-US" w:eastAsia="zh-CN"/>
        </w:rPr>
        <w:t>年初</w:t>
      </w:r>
      <w:r>
        <w:rPr>
          <w:rFonts w:hint="default" w:ascii="仿宋_GB2312" w:eastAsia="仿宋_GB2312"/>
          <w:b w:val="0"/>
          <w:bCs w:val="0"/>
          <w:color w:val="auto"/>
          <w:sz w:val="32"/>
          <w:szCs w:val="32"/>
          <w:highlight w:val="none"/>
          <w:lang w:val="en-US" w:eastAsia="zh-CN"/>
        </w:rPr>
        <w:t>未安排</w:t>
      </w:r>
      <w:r>
        <w:rPr>
          <w:rFonts w:hint="default" w:ascii="仿宋_GB2312" w:eastAsia="仿宋_GB2312"/>
          <w:b w:val="0"/>
          <w:bCs w:val="0"/>
          <w:color w:val="auto"/>
          <w:sz w:val="32"/>
          <w:szCs w:val="32"/>
          <w:highlight w:val="none"/>
          <w:lang w:val="zh-CN" w:eastAsia="zh-CN"/>
        </w:rPr>
        <w:t>公务接待费</w:t>
      </w:r>
      <w:r>
        <w:rPr>
          <w:rFonts w:hint="default" w:ascii="仿宋_GB2312" w:eastAsia="仿宋_GB2312"/>
          <w:b w:val="0"/>
          <w:bCs w:val="0"/>
          <w:color w:val="auto"/>
          <w:sz w:val="32"/>
          <w:szCs w:val="32"/>
          <w:highlight w:val="none"/>
          <w:lang w:val="en-US" w:eastAsia="zh-CN"/>
        </w:rPr>
        <w:t>支出</w:t>
      </w:r>
      <w:r>
        <w:rPr>
          <w:rFonts w:hint="default" w:ascii="仿宋_GB2312" w:eastAsia="仿宋_GB2312"/>
          <w:b w:val="0"/>
          <w:bCs w:val="0"/>
          <w:color w:val="auto"/>
          <w:sz w:val="32"/>
          <w:szCs w:val="32"/>
          <w:highlight w:val="none"/>
          <w:lang w:val="zh-CN" w:eastAsia="zh-CN"/>
        </w:rPr>
        <w:t>。</w:t>
      </w:r>
      <w:r>
        <w:rPr>
          <w:rFonts w:hint="default" w:ascii="仿宋_GB2312" w:eastAsia="仿宋_GB2312"/>
          <w:b w:val="0"/>
          <w:bCs w:val="0"/>
          <w:color w:val="auto"/>
          <w:sz w:val="32"/>
          <w:szCs w:val="32"/>
          <w:highlight w:val="none"/>
          <w:lang w:val="en-US" w:eastAsia="zh-CN"/>
        </w:rPr>
        <w:t>单位全年安排的国内公务接待0批次，0人次。</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bCs/>
          <w:color w:val="auto"/>
          <w:sz w:val="32"/>
          <w:szCs w:val="32"/>
          <w:highlight w:val="none"/>
          <w:lang w:val="en-US" w:eastAsia="zh-CN"/>
        </w:rPr>
        <w:t>与全年预算相比，</w:t>
      </w:r>
      <w:r>
        <w:rPr>
          <w:rFonts w:hint="default" w:ascii="仿宋_GB2312" w:eastAsia="仿宋_GB2312"/>
          <w:b w:val="0"/>
          <w:bCs w:val="0"/>
          <w:color w:val="auto"/>
          <w:sz w:val="32"/>
          <w:szCs w:val="32"/>
          <w:highlight w:val="none"/>
          <w:lang w:val="en-US" w:eastAsia="zh-CN"/>
        </w:rPr>
        <w:t>财政拨款</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三公</w:t>
      </w:r>
      <w:r>
        <w:rPr>
          <w:rFonts w:hint="eastAsia" w:ascii="仿宋_GB2312" w:eastAsia="仿宋_GB2312"/>
          <w:b w:val="0"/>
          <w:bCs w:val="0"/>
          <w:color w:val="auto"/>
          <w:sz w:val="32"/>
          <w:szCs w:val="32"/>
          <w:highlight w:val="none"/>
          <w:lang w:val="en-US" w:eastAsia="zh-CN"/>
        </w:rPr>
        <w:t>”</w:t>
      </w:r>
      <w:r>
        <w:rPr>
          <w:rFonts w:hint="default" w:ascii="仿宋_GB2312" w:eastAsia="仿宋_GB2312"/>
          <w:b w:val="0"/>
          <w:bCs w:val="0"/>
          <w:color w:val="auto"/>
          <w:sz w:val="32"/>
          <w:szCs w:val="32"/>
          <w:highlight w:val="none"/>
          <w:lang w:val="en-US" w:eastAsia="zh-CN"/>
        </w:rPr>
        <w:t>经费支出全年预算数27.55万元，决算数27.55万元，预决算差异率0.00%，主要原因是：严格按照</w:t>
      </w:r>
      <w:r>
        <w:rPr>
          <w:rFonts w:hint="eastAsia" w:ascii="仿宋_GB2312" w:eastAsia="仿宋_GB2312"/>
          <w:b w:val="0"/>
          <w:bCs w:val="0"/>
          <w:color w:val="auto"/>
          <w:sz w:val="32"/>
          <w:szCs w:val="32"/>
          <w:highlight w:val="none"/>
          <w:lang w:val="en-US" w:eastAsia="zh-CN"/>
        </w:rPr>
        <w:t>年初预算执行，预决算无差异</w:t>
      </w:r>
      <w:r>
        <w:rPr>
          <w:rFonts w:hint="default" w:ascii="仿宋_GB2312" w:eastAsia="仿宋_GB2312"/>
          <w:b w:val="0"/>
          <w:bCs w:val="0"/>
          <w:color w:val="auto"/>
          <w:sz w:val="32"/>
          <w:szCs w:val="32"/>
          <w:highlight w:val="none"/>
          <w:lang w:val="en-US" w:eastAsia="zh-CN"/>
        </w:rPr>
        <w:t>。其中：因公出国（境）费全年预算数0.00万元，决算数0.00万元，预决算差异率0.00%，主要原因是：年初未安排因公出国（境）费支出</w:t>
      </w:r>
      <w:r>
        <w:rPr>
          <w:rFonts w:hint="eastAsia" w:ascii="仿宋_GB2312" w:eastAsia="仿宋_GB2312"/>
          <w:b w:val="0"/>
          <w:bCs w:val="0"/>
          <w:color w:val="auto"/>
          <w:sz w:val="32"/>
          <w:szCs w:val="32"/>
          <w:highlight w:val="none"/>
          <w:lang w:val="en-US" w:eastAsia="zh-CN"/>
        </w:rPr>
        <w:t>，因此无此项支出</w:t>
      </w:r>
      <w:r>
        <w:rPr>
          <w:rFonts w:hint="default" w:ascii="仿宋_GB2312" w:eastAsia="仿宋_GB2312"/>
          <w:b w:val="0"/>
          <w:bCs w:val="0"/>
          <w:color w:val="auto"/>
          <w:sz w:val="32"/>
          <w:szCs w:val="32"/>
          <w:highlight w:val="none"/>
          <w:lang w:val="en-US" w:eastAsia="zh-CN"/>
        </w:rPr>
        <w:t>；公务用车购置费全年预算数0.00万元，决算数0.00万元，预决算差异率0.00%，主要原因是：年初未安排公务用车购置费支出</w:t>
      </w:r>
      <w:r>
        <w:rPr>
          <w:rFonts w:hint="eastAsia" w:ascii="仿宋_GB2312" w:eastAsia="仿宋_GB2312"/>
          <w:b w:val="0"/>
          <w:bCs w:val="0"/>
          <w:color w:val="auto"/>
          <w:sz w:val="32"/>
          <w:szCs w:val="32"/>
          <w:highlight w:val="none"/>
          <w:lang w:val="en-US" w:eastAsia="zh-CN"/>
        </w:rPr>
        <w:t>，因此无此项支出</w:t>
      </w:r>
      <w:r>
        <w:rPr>
          <w:rFonts w:hint="default" w:ascii="仿宋_GB2312" w:eastAsia="仿宋_GB2312"/>
          <w:b w:val="0"/>
          <w:bCs w:val="0"/>
          <w:color w:val="auto"/>
          <w:sz w:val="32"/>
          <w:szCs w:val="32"/>
          <w:highlight w:val="none"/>
          <w:lang w:val="en-US" w:eastAsia="zh-CN"/>
        </w:rPr>
        <w:t>；公务用车运行维护费全年预算数27.55万元，决算数27.55万元，预决算差异率0.00%，主要原因是：严格按照</w:t>
      </w:r>
      <w:r>
        <w:rPr>
          <w:rFonts w:hint="eastAsia" w:ascii="仿宋_GB2312" w:eastAsia="仿宋_GB2312"/>
          <w:b w:val="0"/>
          <w:bCs w:val="0"/>
          <w:color w:val="auto"/>
          <w:sz w:val="32"/>
          <w:szCs w:val="32"/>
          <w:highlight w:val="none"/>
          <w:lang w:val="en-US" w:eastAsia="zh-CN"/>
        </w:rPr>
        <w:t>年初预算执行，预决算无差异</w:t>
      </w:r>
      <w:r>
        <w:rPr>
          <w:rFonts w:hint="default" w:ascii="仿宋_GB2312" w:eastAsia="仿宋_GB2312"/>
          <w:b w:val="0"/>
          <w:bCs w:val="0"/>
          <w:color w:val="auto"/>
          <w:sz w:val="32"/>
          <w:szCs w:val="32"/>
          <w:highlight w:val="none"/>
          <w:lang w:val="en-US" w:eastAsia="zh-CN"/>
        </w:rPr>
        <w:t>；公务接待费全年预算数0.00万元，决算数0.00万元，预决算差异率0.00%，主要原因是：年初未安排公务接待费支出</w:t>
      </w:r>
      <w:r>
        <w:rPr>
          <w:rFonts w:hint="eastAsia" w:ascii="仿宋_GB2312" w:eastAsia="仿宋_GB2312"/>
          <w:b w:val="0"/>
          <w:bCs w:val="0"/>
          <w:color w:val="auto"/>
          <w:sz w:val="32"/>
          <w:szCs w:val="32"/>
          <w:highlight w:val="none"/>
          <w:lang w:val="en-US" w:eastAsia="zh-CN"/>
        </w:rPr>
        <w:t>，因此无此项支出</w:t>
      </w:r>
      <w:r>
        <w:rPr>
          <w:rFonts w:hint="default"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十、其他重要事项的情况说明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（一）机关运行经费及公用经费支出情况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2024年度新疆艺术剧院公用经费支出1,004.22万元，比上年减少108.78万元，下降9.77%，主要原因是：</w:t>
      </w:r>
      <w:r>
        <w:rPr>
          <w:rFonts w:hint="eastAsia" w:ascii="仿宋_GB2312" w:eastAsia="仿宋_GB2312"/>
          <w:b w:val="0"/>
          <w:bCs w:val="0"/>
          <w:color w:val="auto"/>
          <w:sz w:val="32"/>
          <w:szCs w:val="32"/>
          <w:highlight w:val="none"/>
          <w:lang w:val="en-US" w:eastAsia="zh-CN"/>
        </w:rPr>
        <w:t>一是</w:t>
      </w:r>
      <w:r>
        <w:rPr>
          <w:rFonts w:hint="default" w:ascii="仿宋_GB2312" w:eastAsia="仿宋_GB2312"/>
          <w:b w:val="0"/>
          <w:bCs w:val="0"/>
          <w:color w:val="auto"/>
          <w:sz w:val="32"/>
          <w:szCs w:val="32"/>
          <w:highlight w:val="none"/>
          <w:lang w:val="en-US" w:eastAsia="zh-CN"/>
        </w:rPr>
        <w:t>杂技团和木卡姆艺术团非</w:t>
      </w:r>
      <w:r>
        <w:rPr>
          <w:rFonts w:hint="eastAsia" w:ascii="仿宋_GB2312" w:eastAsia="仿宋_GB2312"/>
          <w:b w:val="0"/>
          <w:bCs w:val="0"/>
          <w:color w:val="auto"/>
          <w:sz w:val="32"/>
          <w:szCs w:val="32"/>
          <w:highlight w:val="none"/>
          <w:lang w:val="en-US" w:eastAsia="zh-CN"/>
        </w:rPr>
        <w:t>使用其他资金收入项目弥补经费不足，导致基本公用经费减少</w:t>
      </w:r>
      <w:r>
        <w:rPr>
          <w:rFonts w:hint="default" w:ascii="仿宋_GB2312" w:eastAsia="仿宋_GB2312"/>
          <w:b w:val="0"/>
          <w:bCs w:val="0"/>
          <w:color w:val="auto"/>
          <w:sz w:val="32"/>
          <w:szCs w:val="32"/>
          <w:highlight w:val="none"/>
          <w:lang w:val="en-US" w:eastAsia="zh-CN"/>
        </w:rPr>
        <w:t>。</w:t>
      </w:r>
      <w:r>
        <w:rPr>
          <w:rFonts w:hint="eastAsia" w:ascii="仿宋_GB2312" w:eastAsia="仿宋_GB2312"/>
          <w:b w:val="0"/>
          <w:bCs w:val="0"/>
          <w:color w:val="auto"/>
          <w:sz w:val="32"/>
          <w:szCs w:val="32"/>
          <w:highlight w:val="none"/>
          <w:lang w:val="en-US" w:eastAsia="zh-CN"/>
        </w:rPr>
        <w:t>二是院团人员减少导致</w:t>
      </w:r>
      <w:r>
        <w:rPr>
          <w:rFonts w:hint="default" w:ascii="仿宋_GB2312" w:eastAsia="仿宋_GB2312"/>
          <w:b w:val="0"/>
          <w:bCs w:val="0"/>
          <w:color w:val="auto"/>
          <w:sz w:val="32"/>
          <w:szCs w:val="32"/>
          <w:highlight w:val="none"/>
          <w:lang w:val="en-US" w:eastAsia="zh-CN"/>
        </w:rPr>
        <w:t>公用经费减少。</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（二）政府采购情况</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2024年度政府采购支出总额2,085.48万元，其中：政府采购货物支出936.11万元、政府采购工程支出246.40万元、政府采购服务支出902.97万元。</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授予中小企业合同金额1,993.18万元，占政府采购支出总额的95.57%，其中：授予小微企业合同金额1,982.62万元，占政府采购支出总额的95.07%。</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2"/>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（三）国有资产占用情况说明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截至2024年12月31日，房屋38,847.72平方米，价值5,043.01万元。车辆36辆，价值1,027.83万元，其中：副部（省）级及以上领导用车0辆、主要负责人用车1辆、机要通信用车0辆、应急保障用车0辆、执法执勤用车0辆、特种专业技术用车0辆、离退休干部服务用车0辆、其他用车35辆，其他用车主要是：</w:t>
      </w:r>
      <w:r>
        <w:rPr>
          <w:rFonts w:hint="eastAsia" w:ascii="仿宋_GB2312" w:eastAsia="仿宋_GB2312"/>
          <w:b w:val="0"/>
          <w:bCs w:val="0"/>
          <w:color w:val="auto"/>
          <w:sz w:val="32"/>
          <w:szCs w:val="32"/>
          <w:highlight w:val="none"/>
          <w:lang w:val="en-US" w:eastAsia="zh-CN"/>
        </w:rPr>
        <w:t>一般公务用车</w:t>
      </w:r>
      <w:r>
        <w:rPr>
          <w:rFonts w:hint="default" w:ascii="仿宋_GB2312" w:eastAsia="仿宋_GB2312"/>
          <w:b w:val="0"/>
          <w:bCs w:val="0"/>
          <w:color w:val="auto"/>
          <w:sz w:val="32"/>
          <w:szCs w:val="32"/>
          <w:highlight w:val="none"/>
          <w:lang w:val="en-US" w:eastAsia="zh-CN"/>
        </w:rPr>
        <w:t>。单价100万元（含）以上设备（不含车辆）7台（套）。</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十一、预算绩效的情况说明</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仿宋_GB2312" w:eastAsia="仿宋_GB2312"/>
          <w:b w:val="0"/>
          <w:bCs w:val="0"/>
          <w:color w:val="auto"/>
          <w:sz w:val="32"/>
          <w:szCs w:val="32"/>
          <w:highlight w:val="none"/>
          <w:lang w:val="en-US" w:eastAsia="zh-CN"/>
        </w:rPr>
      </w:pPr>
      <w:r>
        <w:rPr>
          <w:rFonts w:hint="default" w:ascii="仿宋_GB2312" w:eastAsia="仿宋_GB2312"/>
          <w:b w:val="0"/>
          <w:bCs w:val="0"/>
          <w:color w:val="auto"/>
          <w:sz w:val="32"/>
          <w:szCs w:val="32"/>
          <w:highlight w:val="none"/>
          <w:lang w:val="en-US" w:eastAsia="zh-CN"/>
        </w:rPr>
        <w:t>根据预算绩效管理要求，本单位2024年度预算绩效评价项目20个，全年预算数4823.37万元，全年执行数</w:t>
      </w:r>
      <w:r>
        <w:rPr>
          <w:rFonts w:hint="eastAsia" w:ascii="仿宋_GB2312" w:eastAsia="仿宋_GB2312"/>
          <w:b w:val="0"/>
          <w:bCs w:val="0"/>
          <w:color w:val="auto"/>
          <w:sz w:val="32"/>
          <w:szCs w:val="32"/>
          <w:highlight w:val="none"/>
          <w:lang w:val="en-US" w:eastAsia="zh-CN"/>
        </w:rPr>
        <w:t>4608.44</w:t>
      </w:r>
      <w:r>
        <w:rPr>
          <w:rFonts w:hint="default" w:ascii="仿宋_GB2312" w:eastAsia="仿宋_GB2312"/>
          <w:b w:val="0"/>
          <w:bCs w:val="0"/>
          <w:color w:val="auto"/>
          <w:sz w:val="32"/>
          <w:szCs w:val="32"/>
          <w:highlight w:val="none"/>
          <w:lang w:val="en-US" w:eastAsia="zh-CN"/>
        </w:rPr>
        <w:t>万元。预算绩效管理取得的成效：一是单位进一步提高预算绩效管理认识，在绩效目标编制方面，针对绩效目标设置指向不清、预算和目标匹配不足，数量目标和质量目标量化不细，效益目标编制不完整；二是相关专业技术人员的业务知识有待加强。发现的问题及原因：加强财务监督和绩效评价，把绩效管理的理念和方法引入经费的管理，逐步建立起以强化资金使用效益为核心的绩效评价体系。下一步改进措施：一是加强相关专业技术人员的业务培训，进一步提高预算绩效评价质量；二是做好重点项目管理工作。具体附项目支出绩效自评表</w:t>
      </w:r>
      <w:r>
        <w:rPr>
          <w:rFonts w:hint="eastAsia" w:ascii="仿宋_GB2312" w:eastAsia="仿宋_GB2312"/>
          <w:b w:val="0"/>
          <w:bCs w:val="0"/>
          <w:color w:val="auto"/>
          <w:sz w:val="32"/>
          <w:szCs w:val="32"/>
          <w:highlight w:val="none"/>
          <w:lang w:val="en-US" w:eastAsia="zh-CN"/>
        </w:rPr>
        <w:t>（见附件2）</w:t>
      </w:r>
      <w:r>
        <w:rPr>
          <w:rFonts w:hint="default" w:ascii="仿宋_GB2312" w:eastAsia="仿宋_GB2312"/>
          <w:b w:val="0"/>
          <w:bCs w:val="0"/>
          <w:color w:val="auto"/>
          <w:sz w:val="32"/>
          <w:szCs w:val="32"/>
          <w:highlight w:val="none"/>
          <w:lang w:val="en-US" w:eastAsia="zh-CN"/>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十二、其他需说明的事项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本部门无其他需说明事项。</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rPr>
          <w:rFonts w:hint="default" w:ascii="Times New Roman" w:hAnsi="Times New Roman" w:eastAsia="仿宋_GB2312" w:cs="Times New Roman"/>
          <w:sz w:val="32"/>
          <w:szCs w:val="32"/>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第三部分</w:t>
      </w: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专业名词解释</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一、财政拨款收入：</w:t>
      </w:r>
      <w:r>
        <w:rPr>
          <w:rFonts w:hint="default" w:ascii="Times New Roman" w:hAnsi="Times New Roman" w:eastAsia="仿宋_GB2312" w:cs="Times New Roman"/>
          <w:sz w:val="32"/>
          <w:szCs w:val="32"/>
        </w:rPr>
        <w:t>指同级财政当年拨付的资金。</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二、上级补助收入：</w:t>
      </w:r>
      <w:r>
        <w:rPr>
          <w:rFonts w:hint="default" w:ascii="Times New Roman" w:hAnsi="Times New Roman" w:eastAsia="仿宋_GB2312" w:cs="Times New Roman"/>
          <w:sz w:val="32"/>
          <w:szCs w:val="32"/>
        </w:rPr>
        <w:t>指事业单位从主管部门和上级单位取得的非财政补助收入。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三、事业收入：</w:t>
      </w:r>
      <w:r>
        <w:rPr>
          <w:rFonts w:hint="default" w:ascii="Times New Roman" w:hAnsi="Times New Roman" w:eastAsia="仿宋_GB2312" w:cs="Times New Roman"/>
          <w:sz w:val="32"/>
          <w:szCs w:val="32"/>
        </w:rPr>
        <w:t>指事业单位开展专业业务活动及其辅助活动所取得的收入。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四、经营收入：</w:t>
      </w:r>
      <w:r>
        <w:rPr>
          <w:rFonts w:hint="default" w:ascii="Times New Roman" w:hAnsi="Times New Roman" w:eastAsia="仿宋_GB2312" w:cs="Times New Roman"/>
          <w:sz w:val="32"/>
          <w:szCs w:val="32"/>
        </w:rPr>
        <w:t>指事业单位在专业业务活动及其辅助活动之外开展非独立核算经营活动取得的收入。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五、附属单位上缴收入：</w:t>
      </w:r>
      <w:r>
        <w:rPr>
          <w:rFonts w:hint="default" w:ascii="Times New Roman" w:hAnsi="Times New Roman" w:eastAsia="仿宋_GB2312" w:cs="Times New Roman"/>
          <w:sz w:val="32"/>
          <w:szCs w:val="32"/>
        </w:rPr>
        <w:t>指事业单位附属的独立核算单位按有关规定上缴的收入。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六、其他收入：</w:t>
      </w:r>
      <w:r>
        <w:rPr>
          <w:rFonts w:hint="default" w:ascii="Times New Roman" w:hAnsi="Times New Roman" w:eastAsia="仿宋_GB2312" w:cs="Times New Roman"/>
          <w:sz w:val="32"/>
          <w:szCs w:val="32"/>
        </w:rPr>
        <w:t>指除上述</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财政拨款收入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事业收入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经营收入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附属单位上缴收入</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等之外取得的收入。</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七、年初结转和结余：</w:t>
      </w:r>
      <w:r>
        <w:rPr>
          <w:rFonts w:hint="default" w:ascii="Times New Roman" w:hAnsi="Times New Roman" w:eastAsia="仿宋_GB2312" w:cs="Times New Roman"/>
          <w:sz w:val="32"/>
          <w:szCs w:val="32"/>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八、年末结转和结余：</w:t>
      </w:r>
      <w:r>
        <w:rPr>
          <w:rFonts w:hint="default" w:ascii="Times New Roman" w:hAnsi="Times New Roman" w:eastAsia="仿宋_GB2312" w:cs="Times New Roman"/>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九、基本支出：</w:t>
      </w:r>
      <w:r>
        <w:rPr>
          <w:rFonts w:hint="default" w:ascii="Times New Roman" w:hAnsi="Times New Roman" w:eastAsia="仿宋_GB2312" w:cs="Times New Roman"/>
          <w:sz w:val="32"/>
          <w:szCs w:val="32"/>
        </w:rPr>
        <w:t>指为保障机构正常运转、完成日常工作任务而发生的人员支出和公用支出。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十、项目支出：</w:t>
      </w:r>
      <w:r>
        <w:rPr>
          <w:rFonts w:hint="default" w:ascii="Times New Roman" w:hAnsi="Times New Roman" w:eastAsia="仿宋_GB2312" w:cs="Times New Roman"/>
          <w:sz w:val="32"/>
          <w:szCs w:val="32"/>
        </w:rPr>
        <w:t>指在基本支出之外为完成特定行政任务和事业发展目标所发生的支出。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十一、经营支出：</w:t>
      </w:r>
      <w:r>
        <w:rPr>
          <w:rFonts w:hint="default" w:ascii="Times New Roman" w:hAnsi="Times New Roman" w:eastAsia="仿宋_GB2312" w:cs="Times New Roman"/>
          <w:sz w:val="32"/>
          <w:szCs w:val="32"/>
        </w:rPr>
        <w:t>指事业单位在专业业务活动及其辅助活动之外开展非独立核算经营活动发生的支出。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十二、对附属单位补助支出：</w:t>
      </w:r>
      <w:r>
        <w:rPr>
          <w:rFonts w:hint="default" w:ascii="Times New Roman" w:hAnsi="Times New Roman" w:eastAsia="仿宋_GB2312" w:cs="Times New Roman"/>
          <w:sz w:val="32"/>
          <w:szCs w:val="32"/>
        </w:rPr>
        <w:t>指事业单位发生的用非财政预算资金对附属单位的补助支出。</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十三、</w:t>
      </w:r>
      <w:r>
        <w:rPr>
          <w:rFonts w:hint="eastAsia" w:ascii="Times New Roman" w:hAnsi="Times New Roman" w:eastAsia="仿宋_GB2312" w:cs="Times New Roman"/>
          <w:b/>
          <w:sz w:val="32"/>
          <w:szCs w:val="32"/>
          <w:lang w:eastAsia="zh-CN"/>
        </w:rPr>
        <w:t>“</w:t>
      </w:r>
      <w:r>
        <w:rPr>
          <w:rFonts w:hint="default" w:ascii="Times New Roman" w:hAnsi="Times New Roman" w:eastAsia="仿宋_GB2312" w:cs="Times New Roman"/>
          <w:b/>
          <w:sz w:val="32"/>
          <w:szCs w:val="32"/>
        </w:rPr>
        <w:t>三公</w:t>
      </w:r>
      <w:r>
        <w:rPr>
          <w:rFonts w:hint="eastAsia" w:ascii="Times New Roman" w:hAnsi="Times New Roman" w:eastAsia="仿宋_GB2312" w:cs="Times New Roman"/>
          <w:b/>
          <w:sz w:val="32"/>
          <w:szCs w:val="32"/>
          <w:lang w:eastAsia="zh-CN"/>
        </w:rPr>
        <w:t>”</w:t>
      </w:r>
      <w:r>
        <w:rPr>
          <w:rFonts w:hint="default" w:ascii="Times New Roman" w:hAnsi="Times New Roman" w:eastAsia="仿宋_GB2312" w:cs="Times New Roman"/>
          <w:b/>
          <w:sz w:val="32"/>
          <w:szCs w:val="32"/>
        </w:rPr>
        <w:t>经费：</w:t>
      </w:r>
      <w:r>
        <w:rPr>
          <w:rFonts w:hint="default" w:ascii="Times New Roman" w:hAnsi="Times New Roman" w:eastAsia="仿宋_GB2312" w:cs="Times New Roman"/>
          <w:sz w:val="32"/>
          <w:szCs w:val="32"/>
        </w:rPr>
        <w:t>指用财政拨款安排的因公出国（境）费、公务用车购置及运行费和公务接待费。其中，因公出国（境）费反映单位公务出国（境）的国际旅费、国外城市间交通费、住宿费、伙食费、培训</w:t>
      </w:r>
      <w:bookmarkStart w:id="8" w:name="_GoBack"/>
      <w:bookmarkEnd w:id="8"/>
      <w:r>
        <w:rPr>
          <w:rFonts w:hint="default" w:ascii="Times New Roman" w:hAnsi="Times New Roman" w:eastAsia="仿宋_GB2312" w:cs="Times New Roman"/>
          <w:sz w:val="32"/>
          <w:szCs w:val="32"/>
        </w:rPr>
        <w:t>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keepNext w:val="0"/>
        <w:keepLines w:val="0"/>
        <w:pageBreakBefore w:val="0"/>
        <w:widowControl/>
        <w:kinsoku/>
        <w:wordWrap/>
        <w:overflowPunct/>
        <w:topLinePunct w:val="0"/>
        <w:autoSpaceDE/>
        <w:autoSpaceDN/>
        <w:bidi w:val="0"/>
        <w:adjustRightInd/>
        <w:snapToGrid/>
        <w:spacing w:after="0" w:line="560" w:lineRule="exact"/>
        <w:ind w:firstLine="642"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sz w:val="32"/>
          <w:szCs w:val="32"/>
        </w:rPr>
        <w:t>十四、机关运行经费：</w:t>
      </w:r>
      <w:r>
        <w:rPr>
          <w:rFonts w:hint="default" w:ascii="Times New Roman" w:hAnsi="Times New Roman" w:eastAsia="仿宋_GB2312" w:cs="Times New Roman"/>
          <w:sz w:val="32"/>
          <w:szCs w:val="32"/>
        </w:rPr>
        <w:t>行政单位和参照公务员法管理的事业单位财政拨款基本支出中的公用经费支出。</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Times New Roman" w:hAnsi="Times New Roman" w:cs="Times New Roman"/>
        </w:rPr>
      </w:pPr>
      <w:r>
        <w:rPr>
          <w:rFonts w:hint="default" w:ascii="Times New Roman" w:hAnsi="Times New Roman" w:cs="Times New Roman"/>
          <w:sz w:val="0"/>
          <w:szCs w:val="0"/>
        </w:rPr>
        <w:br w:type="page"/>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第四部分部门决算报表（</w:t>
      </w:r>
      <w:bookmarkStart w:id="7" w:name="OLE_LINK6"/>
      <w:r>
        <w:rPr>
          <w:rFonts w:hint="default" w:ascii="Times New Roman" w:hAnsi="Times New Roman" w:eastAsia="黑体" w:cs="Times New Roman"/>
          <w:sz w:val="32"/>
          <w:szCs w:val="32"/>
        </w:rPr>
        <w:t>见附</w:t>
      </w:r>
      <w:r>
        <w:rPr>
          <w:rFonts w:hint="default" w:ascii="Times New Roman" w:hAnsi="Times New Roman" w:eastAsia="黑体" w:cs="Times New Roman"/>
          <w:sz w:val="32"/>
          <w:szCs w:val="32"/>
          <w:lang w:val="en-US" w:eastAsia="zh-CN"/>
        </w:rPr>
        <w:t>件1</w:t>
      </w:r>
      <w:bookmarkEnd w:id="7"/>
      <w:r>
        <w:rPr>
          <w:rFonts w:hint="default" w:ascii="Times New Roman" w:hAnsi="Times New Roman" w:eastAsia="黑体" w:cs="Times New Roman"/>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一、《收入支出决算总表》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二、《收入决算表》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三、《支出决算表》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四、《财政拨款收入支出决算总表》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五、《一般公共预算财政拨款支出决算表》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六、《一般公共预算财政拨款基本支出决算表》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七、《政府性基金预算财政拨款收入支出决算表》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八、《国有资本经营预算财政拨款收入支出决算表》</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九、《财政拨款</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三公</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经费支出决算表》</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第</w:t>
      </w:r>
      <w:r>
        <w:rPr>
          <w:rFonts w:hint="default"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部分</w:t>
      </w:r>
      <w:r>
        <w:rPr>
          <w:rFonts w:hint="default" w:ascii="Times New Roman" w:hAnsi="Times New Roman" w:eastAsia="黑体" w:cs="Times New Roman"/>
          <w:sz w:val="32"/>
          <w:szCs w:val="32"/>
          <w:lang w:val="en-US" w:eastAsia="zh-CN"/>
        </w:rPr>
        <w:t xml:space="preserve"> 项目绩效自评表</w:t>
      </w:r>
      <w:r>
        <w:rPr>
          <w:rFonts w:hint="default" w:ascii="Times New Roman" w:hAnsi="Times New Roman" w:eastAsia="黑体" w:cs="Times New Roman"/>
          <w:sz w:val="32"/>
          <w:szCs w:val="32"/>
        </w:rPr>
        <w:t>（见附</w:t>
      </w:r>
      <w:r>
        <w:rPr>
          <w:rFonts w:hint="default" w:ascii="Times New Roman" w:hAnsi="Times New Roman" w:eastAsia="黑体" w:cs="Times New Roman"/>
          <w:sz w:val="32"/>
          <w:szCs w:val="32"/>
          <w:lang w:val="en-US" w:eastAsia="zh-CN"/>
        </w:rPr>
        <w:t>件2</w:t>
      </w:r>
      <w:r>
        <w:rPr>
          <w:rFonts w:hint="default" w:ascii="Times New Roman" w:hAnsi="Times New Roman" w:eastAsia="黑体" w:cs="Times New Roman"/>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jc w:val="center"/>
        <w:textAlignment w:val="auto"/>
        <w:outlineLvl w:val="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 xml:space="preserve">   </w:t>
      </w:r>
      <w:r>
        <w:rPr>
          <w:rFonts w:hint="default" w:ascii="Times New Roman" w:hAnsi="Times New Roman" w:eastAsia="黑体" w:cs="Times New Roman"/>
          <w:sz w:val="32"/>
          <w:szCs w:val="32"/>
        </w:rPr>
        <w:t>第</w:t>
      </w:r>
      <w:r>
        <w:rPr>
          <w:rFonts w:hint="default"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rPr>
        <w:t>部分</w:t>
      </w:r>
      <w:r>
        <w:rPr>
          <w:rFonts w:hint="default" w:ascii="Times New Roman" w:hAnsi="Times New Roman" w:eastAsia="黑体" w:cs="Times New Roman"/>
          <w:sz w:val="32"/>
          <w:szCs w:val="32"/>
          <w:lang w:val="en-US" w:eastAsia="zh-CN"/>
        </w:rPr>
        <w:t xml:space="preserve"> 项目绩效自评报告</w:t>
      </w:r>
      <w:r>
        <w:rPr>
          <w:rFonts w:hint="default" w:ascii="Times New Roman" w:hAnsi="Times New Roman" w:eastAsia="黑体" w:cs="Times New Roman"/>
          <w:sz w:val="32"/>
          <w:szCs w:val="32"/>
        </w:rPr>
        <w:t>（见附</w:t>
      </w:r>
      <w:r>
        <w:rPr>
          <w:rFonts w:hint="default" w:ascii="Times New Roman" w:hAnsi="Times New Roman" w:eastAsia="黑体" w:cs="Times New Roman"/>
          <w:sz w:val="32"/>
          <w:szCs w:val="32"/>
          <w:lang w:val="en-US" w:eastAsia="zh-CN"/>
        </w:rPr>
        <w:t>件3</w:t>
      </w:r>
      <w:r>
        <w:rPr>
          <w:rFonts w:hint="default" w:ascii="Times New Roman" w:hAnsi="Times New Roman" w:eastAsia="黑体" w:cs="Times New Roman"/>
          <w:sz w:val="32"/>
          <w:szCs w:val="32"/>
        </w:rPr>
        <w:t>）</w:t>
      </w:r>
    </w:p>
    <w:p>
      <w:pPr>
        <w:keepNext w:val="0"/>
        <w:keepLines w:val="0"/>
        <w:pageBreakBefore w:val="0"/>
        <w:widowControl/>
        <w:kinsoku/>
        <w:wordWrap/>
        <w:overflowPunct/>
        <w:topLinePunct w:val="0"/>
        <w:autoSpaceDE/>
        <w:autoSpaceDN/>
        <w:bidi w:val="0"/>
        <w:adjustRightInd/>
        <w:snapToGrid/>
        <w:spacing w:after="0" w:line="560" w:lineRule="exact"/>
        <w:ind w:firstLine="640" w:firstLineChars="200"/>
        <w:textAlignment w:val="auto"/>
        <w:outlineLvl w:val="1"/>
        <w:rPr>
          <w:rFonts w:hint="default" w:ascii="Times New Roman" w:hAnsi="Times New Roman" w:eastAsia="仿宋_GB2312" w:cs="Times New Roman"/>
          <w:sz w:val="32"/>
          <w:szCs w:val="32"/>
        </w:rPr>
      </w:pP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2000000" w:usb3="00000000" w:csb0="2000019F" w:csb1="00000000"/>
  </w:font>
  <w:font w:name="仿宋_GB2312">
    <w:altName w:val="方正仿宋_GBK"/>
    <w:panose1 w:val="02010609030101010101"/>
    <w:charset w:val="86"/>
    <w:family w:val="roman"/>
    <w:pitch w:val="default"/>
    <w:sig w:usb0="00000000" w:usb1="00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Y1OGUzOGVlOTlmM2ViNjMyMjZmZDNkODRlMjFiYjAifQ=="/>
  </w:docVars>
  <w:rsids>
    <w:rsidRoot w:val="00911678"/>
    <w:rsid w:val="00076791"/>
    <w:rsid w:val="002E1435"/>
    <w:rsid w:val="005E5579"/>
    <w:rsid w:val="00911678"/>
    <w:rsid w:val="0098388D"/>
    <w:rsid w:val="00AE3328"/>
    <w:rsid w:val="00B8589D"/>
    <w:rsid w:val="00E7270F"/>
    <w:rsid w:val="02C31CC4"/>
    <w:rsid w:val="03125B78"/>
    <w:rsid w:val="036839EA"/>
    <w:rsid w:val="03A013D6"/>
    <w:rsid w:val="04264516"/>
    <w:rsid w:val="04732647"/>
    <w:rsid w:val="050D26F5"/>
    <w:rsid w:val="05B80C59"/>
    <w:rsid w:val="05FD2B10"/>
    <w:rsid w:val="06601781"/>
    <w:rsid w:val="06712BB6"/>
    <w:rsid w:val="080A32C2"/>
    <w:rsid w:val="081303C8"/>
    <w:rsid w:val="08766BA9"/>
    <w:rsid w:val="08A24874"/>
    <w:rsid w:val="08FD2E27"/>
    <w:rsid w:val="097035F9"/>
    <w:rsid w:val="09A45050"/>
    <w:rsid w:val="09F71624"/>
    <w:rsid w:val="0AE93662"/>
    <w:rsid w:val="0B161F7E"/>
    <w:rsid w:val="0B955598"/>
    <w:rsid w:val="0B9F3D21"/>
    <w:rsid w:val="0CA359E0"/>
    <w:rsid w:val="0CCA74C4"/>
    <w:rsid w:val="0D3A63F7"/>
    <w:rsid w:val="0DBA560F"/>
    <w:rsid w:val="0E9A2E45"/>
    <w:rsid w:val="0E9D58A8"/>
    <w:rsid w:val="0EBE4E06"/>
    <w:rsid w:val="0F557518"/>
    <w:rsid w:val="0F851480"/>
    <w:rsid w:val="101A4567"/>
    <w:rsid w:val="12A83E03"/>
    <w:rsid w:val="12F72695"/>
    <w:rsid w:val="140051D9"/>
    <w:rsid w:val="14830684"/>
    <w:rsid w:val="154020D1"/>
    <w:rsid w:val="15FA4976"/>
    <w:rsid w:val="16287735"/>
    <w:rsid w:val="17C92852"/>
    <w:rsid w:val="17EE4066"/>
    <w:rsid w:val="18CC227D"/>
    <w:rsid w:val="18E11E1D"/>
    <w:rsid w:val="19F65454"/>
    <w:rsid w:val="1A0C2EC9"/>
    <w:rsid w:val="1A1D6E85"/>
    <w:rsid w:val="1A3B37AF"/>
    <w:rsid w:val="1AA90718"/>
    <w:rsid w:val="1BD47A17"/>
    <w:rsid w:val="1BEF4851"/>
    <w:rsid w:val="1C0C6FA4"/>
    <w:rsid w:val="1C5B3C94"/>
    <w:rsid w:val="1C612B56"/>
    <w:rsid w:val="1DE101C9"/>
    <w:rsid w:val="1ED0096A"/>
    <w:rsid w:val="1F75506D"/>
    <w:rsid w:val="1FD60202"/>
    <w:rsid w:val="1FD94C20"/>
    <w:rsid w:val="20144C2F"/>
    <w:rsid w:val="202E5B22"/>
    <w:rsid w:val="21B300CF"/>
    <w:rsid w:val="21EA7F94"/>
    <w:rsid w:val="22757537"/>
    <w:rsid w:val="23B7040A"/>
    <w:rsid w:val="245817D3"/>
    <w:rsid w:val="24D9609E"/>
    <w:rsid w:val="25237319"/>
    <w:rsid w:val="26695200"/>
    <w:rsid w:val="269C7383"/>
    <w:rsid w:val="271B474C"/>
    <w:rsid w:val="278C73F8"/>
    <w:rsid w:val="289646E1"/>
    <w:rsid w:val="28CD3509"/>
    <w:rsid w:val="29987207"/>
    <w:rsid w:val="29B175E9"/>
    <w:rsid w:val="2A077209"/>
    <w:rsid w:val="2A187669"/>
    <w:rsid w:val="2A2D4EC2"/>
    <w:rsid w:val="2AC31382"/>
    <w:rsid w:val="2B312790"/>
    <w:rsid w:val="2B54647E"/>
    <w:rsid w:val="2B980A61"/>
    <w:rsid w:val="2BD66E93"/>
    <w:rsid w:val="2BF437BD"/>
    <w:rsid w:val="2C453E2B"/>
    <w:rsid w:val="2CE13D42"/>
    <w:rsid w:val="2CF41CC7"/>
    <w:rsid w:val="2D5C786C"/>
    <w:rsid w:val="2D8868B3"/>
    <w:rsid w:val="2DBB4593"/>
    <w:rsid w:val="2EDE49DD"/>
    <w:rsid w:val="2FD63906"/>
    <w:rsid w:val="30395C43"/>
    <w:rsid w:val="30DB6CFA"/>
    <w:rsid w:val="30F878AC"/>
    <w:rsid w:val="314B20D2"/>
    <w:rsid w:val="3163566D"/>
    <w:rsid w:val="319C0B7F"/>
    <w:rsid w:val="319E0AFE"/>
    <w:rsid w:val="31B20D38"/>
    <w:rsid w:val="31F94E53"/>
    <w:rsid w:val="323D7C6C"/>
    <w:rsid w:val="326571C3"/>
    <w:rsid w:val="32715B68"/>
    <w:rsid w:val="333B6B81"/>
    <w:rsid w:val="33446DD8"/>
    <w:rsid w:val="33723946"/>
    <w:rsid w:val="33E947FE"/>
    <w:rsid w:val="341B222F"/>
    <w:rsid w:val="35B75F88"/>
    <w:rsid w:val="361C5DEB"/>
    <w:rsid w:val="36BF3572"/>
    <w:rsid w:val="36E96615"/>
    <w:rsid w:val="38404012"/>
    <w:rsid w:val="39936505"/>
    <w:rsid w:val="3A865F28"/>
    <w:rsid w:val="3B2220F5"/>
    <w:rsid w:val="3B2B659D"/>
    <w:rsid w:val="3BC431AC"/>
    <w:rsid w:val="3C5502A8"/>
    <w:rsid w:val="3CDE204C"/>
    <w:rsid w:val="3D0EFA4F"/>
    <w:rsid w:val="3D9F5C7F"/>
    <w:rsid w:val="3E23065E"/>
    <w:rsid w:val="3E391C30"/>
    <w:rsid w:val="3E3BD442"/>
    <w:rsid w:val="3E846C23"/>
    <w:rsid w:val="3ED741AB"/>
    <w:rsid w:val="3F0A537A"/>
    <w:rsid w:val="3F632CDC"/>
    <w:rsid w:val="40B22581"/>
    <w:rsid w:val="40D43E92"/>
    <w:rsid w:val="412F2E76"/>
    <w:rsid w:val="41601281"/>
    <w:rsid w:val="42ED3F04"/>
    <w:rsid w:val="42ED4D97"/>
    <w:rsid w:val="43530F99"/>
    <w:rsid w:val="445C6678"/>
    <w:rsid w:val="451E56DB"/>
    <w:rsid w:val="454D7D6F"/>
    <w:rsid w:val="455410FD"/>
    <w:rsid w:val="461D5993"/>
    <w:rsid w:val="464B69A4"/>
    <w:rsid w:val="46F101CD"/>
    <w:rsid w:val="48A71E8C"/>
    <w:rsid w:val="48B40105"/>
    <w:rsid w:val="49303C2F"/>
    <w:rsid w:val="49DC5B65"/>
    <w:rsid w:val="49DC7913"/>
    <w:rsid w:val="4A1D0657"/>
    <w:rsid w:val="4B1D4C68"/>
    <w:rsid w:val="4B241572"/>
    <w:rsid w:val="4B3534F0"/>
    <w:rsid w:val="4C561BFF"/>
    <w:rsid w:val="4CF3744D"/>
    <w:rsid w:val="4F2C6C47"/>
    <w:rsid w:val="4F2D4C17"/>
    <w:rsid w:val="4F4C0F1F"/>
    <w:rsid w:val="4FA62E9D"/>
    <w:rsid w:val="501F0559"/>
    <w:rsid w:val="50B82E88"/>
    <w:rsid w:val="515661FD"/>
    <w:rsid w:val="51597A9B"/>
    <w:rsid w:val="51752B27"/>
    <w:rsid w:val="519D207E"/>
    <w:rsid w:val="51A27694"/>
    <w:rsid w:val="51BB2504"/>
    <w:rsid w:val="51C15D6C"/>
    <w:rsid w:val="51FA302C"/>
    <w:rsid w:val="52036385"/>
    <w:rsid w:val="527F1783"/>
    <w:rsid w:val="52CB1154"/>
    <w:rsid w:val="52E02222"/>
    <w:rsid w:val="53316F22"/>
    <w:rsid w:val="53430A03"/>
    <w:rsid w:val="53A2397B"/>
    <w:rsid w:val="543842E0"/>
    <w:rsid w:val="543F741C"/>
    <w:rsid w:val="54EA7388"/>
    <w:rsid w:val="55376236"/>
    <w:rsid w:val="55AC288F"/>
    <w:rsid w:val="55BD684B"/>
    <w:rsid w:val="55C53951"/>
    <w:rsid w:val="56C41556"/>
    <w:rsid w:val="56EF6ED8"/>
    <w:rsid w:val="578F06BB"/>
    <w:rsid w:val="58920462"/>
    <w:rsid w:val="58C85C32"/>
    <w:rsid w:val="58D8399B"/>
    <w:rsid w:val="58F307D5"/>
    <w:rsid w:val="598C4EB2"/>
    <w:rsid w:val="598F04FE"/>
    <w:rsid w:val="5BDB5C7C"/>
    <w:rsid w:val="5C5A1297"/>
    <w:rsid w:val="5CB05835"/>
    <w:rsid w:val="5CB32755"/>
    <w:rsid w:val="5D153410"/>
    <w:rsid w:val="5D1551BE"/>
    <w:rsid w:val="5D4D6706"/>
    <w:rsid w:val="5D5E0913"/>
    <w:rsid w:val="5DC015CE"/>
    <w:rsid w:val="5EEB267A"/>
    <w:rsid w:val="5F334021"/>
    <w:rsid w:val="5F9A7BFD"/>
    <w:rsid w:val="5FC52ECB"/>
    <w:rsid w:val="5FF27A39"/>
    <w:rsid w:val="60234096"/>
    <w:rsid w:val="60874625"/>
    <w:rsid w:val="61613DE8"/>
    <w:rsid w:val="61B37CD9"/>
    <w:rsid w:val="63283E1E"/>
    <w:rsid w:val="632C2570"/>
    <w:rsid w:val="63312626"/>
    <w:rsid w:val="63FF820F"/>
    <w:rsid w:val="643423CE"/>
    <w:rsid w:val="6477050C"/>
    <w:rsid w:val="64F63B27"/>
    <w:rsid w:val="65D26342"/>
    <w:rsid w:val="65F71905"/>
    <w:rsid w:val="65FF10A2"/>
    <w:rsid w:val="663012BB"/>
    <w:rsid w:val="6779459B"/>
    <w:rsid w:val="688A4CB2"/>
    <w:rsid w:val="69117181"/>
    <w:rsid w:val="69913E1E"/>
    <w:rsid w:val="69BE2739"/>
    <w:rsid w:val="69E8090C"/>
    <w:rsid w:val="6A537326"/>
    <w:rsid w:val="6AA06A0F"/>
    <w:rsid w:val="6AF9611F"/>
    <w:rsid w:val="6B286A04"/>
    <w:rsid w:val="6BE34D97"/>
    <w:rsid w:val="6BFD3458"/>
    <w:rsid w:val="6CE6684F"/>
    <w:rsid w:val="6CF154D4"/>
    <w:rsid w:val="6D17288C"/>
    <w:rsid w:val="6D5F5FC2"/>
    <w:rsid w:val="6D94212F"/>
    <w:rsid w:val="6EE372BA"/>
    <w:rsid w:val="6F0A2324"/>
    <w:rsid w:val="6F683873"/>
    <w:rsid w:val="6F7524B5"/>
    <w:rsid w:val="6F8F2BAE"/>
    <w:rsid w:val="6FCF0F00"/>
    <w:rsid w:val="6FEBE03B"/>
    <w:rsid w:val="70304000"/>
    <w:rsid w:val="718129CA"/>
    <w:rsid w:val="71B903B6"/>
    <w:rsid w:val="727B566C"/>
    <w:rsid w:val="7419338E"/>
    <w:rsid w:val="74293134"/>
    <w:rsid w:val="74F7C7B5"/>
    <w:rsid w:val="75050C1A"/>
    <w:rsid w:val="757E794D"/>
    <w:rsid w:val="75CA0DE4"/>
    <w:rsid w:val="762253A5"/>
    <w:rsid w:val="76AF7FDA"/>
    <w:rsid w:val="76EE465E"/>
    <w:rsid w:val="76FF2D0F"/>
    <w:rsid w:val="798017B9"/>
    <w:rsid w:val="7A8772A3"/>
    <w:rsid w:val="7D67516A"/>
    <w:rsid w:val="7FDB2BE7"/>
    <w:rsid w:val="7FE26D2A"/>
    <w:rsid w:val="96EE0D53"/>
    <w:rsid w:val="E6AF6F4B"/>
    <w:rsid w:val="EDF7CF14"/>
    <w:rsid w:val="EE9B5014"/>
    <w:rsid w:val="FAEB29C2"/>
    <w:rsid w:val="FFE7A7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3">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76092" w:themeColor="accent1" w:themeShade="BF"/>
      <w:sz w:val="28"/>
      <w:szCs w:val="28"/>
    </w:rPr>
  </w:style>
  <w:style w:type="paragraph" w:styleId="2">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8">
    <w:name w:val="header"/>
    <w:basedOn w:val="1"/>
    <w:link w:val="17"/>
    <w:unhideWhenUsed/>
    <w:qFormat/>
    <w:uiPriority w:val="99"/>
    <w:pPr>
      <w:tabs>
        <w:tab w:val="center" w:pos="4680"/>
        <w:tab w:val="right" w:pos="9360"/>
      </w:tabs>
    </w:pPr>
  </w:style>
  <w:style w:type="paragraph" w:styleId="9">
    <w:name w:val="toc 1"/>
    <w:basedOn w:val="1"/>
    <w:next w:val="1"/>
    <w:qFormat/>
    <w:uiPriority w:val="0"/>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75E"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14:textFill>
        <w14:solidFill>
          <w14:schemeClr w14:val="hlink"/>
        </w14:solidFill>
      </w14:textFill>
    </w:rPr>
  </w:style>
  <w:style w:type="character" w:customStyle="1" w:styleId="17">
    <w:name w:val="页眉 Char"/>
    <w:basedOn w:val="14"/>
    <w:link w:val="8"/>
    <w:qFormat/>
    <w:uiPriority w:val="99"/>
  </w:style>
  <w:style w:type="character" w:customStyle="1" w:styleId="18">
    <w:name w:val="标题 1 Char"/>
    <w:basedOn w:val="14"/>
    <w:link w:val="3"/>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标题 2 Char"/>
    <w:basedOn w:val="14"/>
    <w:link w:val="2"/>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标题 3 Char"/>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标题 4 Char"/>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副标题 Char"/>
    <w:basedOn w:val="14"/>
    <w:link w:val="1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character" w:customStyle="1" w:styleId="23">
    <w:name w:val="标题 Char"/>
    <w:basedOn w:val="14"/>
    <w:link w:val="11"/>
    <w:qFormat/>
    <w:uiPriority w:val="10"/>
    <w:rPr>
      <w:rFonts w:asciiTheme="majorHAnsi" w:hAnsiTheme="majorHAnsi" w:eastAsiaTheme="majorEastAsia" w:cstheme="majorBidi"/>
      <w:color w:val="17375E" w:themeColor="text2" w:themeShade="BF"/>
      <w:spacing w:val="5"/>
      <w:kern w:val="28"/>
      <w:sz w:val="52"/>
      <w:szCs w:val="52"/>
    </w:rPr>
  </w:style>
  <w:style w:type="paragraph" w:customStyle="1" w:styleId="24">
    <w:name w:val="List Paragraph"/>
    <w:basedOn w:val="1"/>
    <w:qFormat/>
    <w:uiPriority w:val="0"/>
    <w:pPr>
      <w:ind w:firstLine="420" w:firstLineChars="200"/>
    </w:pPr>
  </w:style>
  <w:style w:type="paragraph" w:customStyle="1" w:styleId="25">
    <w:name w:val="无间隔1"/>
    <w:qFormat/>
    <w:uiPriority w:val="1"/>
    <w:pPr>
      <w:widowControl w:val="0"/>
      <w:spacing w:line="660" w:lineRule="exact"/>
      <w:ind w:firstLine="560" w:firstLineChars="200"/>
    </w:pPr>
    <w:rPr>
      <w:rFonts w:ascii="仿宋_GB2312" w:hAnsi="Calibri" w:eastAsia="仿宋_GB2312" w:cs="Times New Roman"/>
      <w:kern w:val="10"/>
      <w:sz w:val="28"/>
      <w:szCs w:val="28"/>
      <w:lang w:val="en-US" w:eastAsia="zh-CN" w:bidi="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8286</Words>
  <Characters>9288</Characters>
  <Lines>65</Lines>
  <Paragraphs>18</Paragraphs>
  <TotalTime>3</TotalTime>
  <ScaleCrop>false</ScaleCrop>
  <LinksUpToDate>false</LinksUpToDate>
  <CharactersWithSpaces>9298</CharactersWithSpaces>
  <Application>WPS Office_11.8.2.10251_F1E327BC-269C-435d-A152-05C5408002CA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2025-08-20T20:24:00Z</dcterms:created>
  <dc:creator>Administrator</dc:creator>
  <cp:lastModifiedBy>wlt</cp:lastModifiedBy>
  <dcterms:modified xsi:type="dcterms:W3CDTF">2025-08-28T12:48:19Z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2052-11.8.2.10251</vt:lpwstr>
  </property>
  <property fmtid="{D5CDD505-2E9C-101B-9397-08002B2CF9AE}" pid="3" name="ICV">
    <vt:lpwstr>0B84C15489C74C8087F1D7B249E0FFC9_12</vt:lpwstr>
  </property>
</Properties>
</file>